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E491E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  <w:lang w:eastAsia="en-US"/>
              </w:r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:rsidR="009E491E" w:rsidRDefault="009949D5">
                <w:r>
                  <w:rPr>
                    <w:noProof/>
                    <w:lang w:eastAsia="en-US"/>
                  </w:rPr>
                  <w:drawing>
                    <wp:inline distT="0" distB="0" distL="0" distR="0" wp14:anchorId="77AA6EB1" wp14:editId="606569B2">
                      <wp:extent cx="1514787" cy="1556865"/>
                      <wp:effectExtent l="0" t="0" r="0" b="571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4787" cy="1556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E491E" w:rsidRDefault="009E491E">
            <w:pPr>
              <w:pStyle w:val="Caption"/>
            </w:pPr>
          </w:p>
          <w:p w:rsidR="00CA6A81" w:rsidRDefault="00CA6A81" w:rsidP="00CA6A81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What should parents know?</w:t>
            </w:r>
          </w:p>
          <w:p w:rsidR="00A82E5D" w:rsidRPr="00A82E5D" w:rsidRDefault="00A82E5D" w:rsidP="00A82E5D">
            <w:pPr>
              <w:pStyle w:val="Heading1"/>
              <w:numPr>
                <w:ilvl w:val="0"/>
                <w:numId w:val="7"/>
              </w:numPr>
              <w:rPr>
                <w:b w:val="0"/>
                <w:sz w:val="20"/>
              </w:rPr>
            </w:pPr>
            <w:r>
              <w:rPr>
                <w:rStyle w:val="Heading1Char"/>
                <w:bCs/>
                <w:sz w:val="20"/>
              </w:rPr>
              <w:t>Regular school attendance is a major predictor of academic success</w:t>
            </w:r>
          </w:p>
          <w:p w:rsidR="00A82E5D" w:rsidRDefault="00A82E5D" w:rsidP="00A82E5D">
            <w:pPr>
              <w:pStyle w:val="Heading1"/>
              <w:numPr>
                <w:ilvl w:val="0"/>
                <w:numId w:val="7"/>
              </w:numPr>
              <w:rPr>
                <w:rStyle w:val="Heading1Char"/>
                <w:bCs/>
                <w:sz w:val="20"/>
              </w:rPr>
            </w:pPr>
            <w:r>
              <w:rPr>
                <w:rStyle w:val="Heading1Char"/>
                <w:bCs/>
                <w:sz w:val="20"/>
              </w:rPr>
              <w:t>Parents</w:t>
            </w:r>
            <w:r w:rsidR="00A103F1">
              <w:rPr>
                <w:rStyle w:val="Heading1Char"/>
                <w:bCs/>
                <w:sz w:val="20"/>
              </w:rPr>
              <w:t>/guardians</w:t>
            </w:r>
            <w:r>
              <w:rPr>
                <w:rStyle w:val="Heading1Char"/>
                <w:bCs/>
                <w:sz w:val="20"/>
              </w:rPr>
              <w:t xml:space="preserve"> should set routines to establish good attendance patterns</w:t>
            </w:r>
          </w:p>
          <w:p w:rsidR="004C224F" w:rsidRDefault="00187AAE" w:rsidP="00CA6A81">
            <w:pPr>
              <w:pStyle w:val="Heading1"/>
              <w:numPr>
                <w:ilvl w:val="0"/>
                <w:numId w:val="7"/>
              </w:numPr>
              <w:rPr>
                <w:rStyle w:val="Heading1Char"/>
                <w:bCs/>
                <w:sz w:val="20"/>
              </w:rPr>
            </w:pPr>
            <w:r>
              <w:rPr>
                <w:rStyle w:val="Heading1Char"/>
                <w:bCs/>
                <w:sz w:val="20"/>
              </w:rPr>
              <w:t>Parents</w:t>
            </w:r>
            <w:r w:rsidR="00A103F1">
              <w:rPr>
                <w:rStyle w:val="Heading1Char"/>
                <w:bCs/>
                <w:sz w:val="20"/>
              </w:rPr>
              <w:t>/guardians</w:t>
            </w:r>
            <w:r>
              <w:rPr>
                <w:rStyle w:val="Heading1Char"/>
                <w:bCs/>
                <w:sz w:val="20"/>
              </w:rPr>
              <w:t xml:space="preserve"> should notify the school when their child is going to be absent on any given day</w:t>
            </w:r>
          </w:p>
          <w:p w:rsidR="00CA6A81" w:rsidRPr="00CA6A81" w:rsidRDefault="00CA6A81" w:rsidP="00CA6A81">
            <w:pPr>
              <w:pStyle w:val="Heading1"/>
              <w:numPr>
                <w:ilvl w:val="0"/>
                <w:numId w:val="7"/>
              </w:numPr>
              <w:rPr>
                <w:b w:val="0"/>
                <w:sz w:val="20"/>
              </w:rPr>
            </w:pPr>
            <w:r>
              <w:rPr>
                <w:rStyle w:val="Heading1Char"/>
                <w:bCs/>
                <w:sz w:val="20"/>
              </w:rPr>
              <w:t>A parent</w:t>
            </w:r>
            <w:r w:rsidR="00A103F1">
              <w:rPr>
                <w:rStyle w:val="Heading1Char"/>
                <w:bCs/>
                <w:sz w:val="20"/>
              </w:rPr>
              <w:t>/guardian</w:t>
            </w:r>
            <w:r>
              <w:rPr>
                <w:rStyle w:val="Heading1Char"/>
                <w:bCs/>
                <w:sz w:val="20"/>
              </w:rPr>
              <w:t xml:space="preserve"> needs to provide a written note or physician’s certificate for absences or tardies within 3 days of the students return to school</w:t>
            </w:r>
          </w:p>
          <w:p w:rsidR="000D0663" w:rsidRDefault="000D0663" w:rsidP="000D0663">
            <w:pPr>
              <w:pStyle w:val="Heading1"/>
              <w:numPr>
                <w:ilvl w:val="0"/>
                <w:numId w:val="7"/>
              </w:numPr>
              <w:rPr>
                <w:rStyle w:val="Heading1Char"/>
                <w:bCs/>
                <w:sz w:val="20"/>
              </w:rPr>
            </w:pPr>
            <w:r>
              <w:rPr>
                <w:rStyle w:val="Heading1Char"/>
                <w:bCs/>
                <w:sz w:val="20"/>
              </w:rPr>
              <w:t>Parents</w:t>
            </w:r>
            <w:r w:rsidR="00A103F1">
              <w:rPr>
                <w:rStyle w:val="Heading1Char"/>
                <w:bCs/>
                <w:sz w:val="20"/>
              </w:rPr>
              <w:t>/guardians</w:t>
            </w:r>
            <w:r>
              <w:rPr>
                <w:rStyle w:val="Heading1Char"/>
                <w:bCs/>
                <w:sz w:val="20"/>
              </w:rPr>
              <w:t xml:space="preserve"> can be required to submit a doctor’s note for excessive absences</w:t>
            </w:r>
          </w:p>
          <w:p w:rsidR="00A82E5D" w:rsidRDefault="00A82E5D" w:rsidP="00A82E5D">
            <w:pPr>
              <w:pStyle w:val="Heading1"/>
              <w:numPr>
                <w:ilvl w:val="0"/>
                <w:numId w:val="7"/>
              </w:numPr>
              <w:rPr>
                <w:rStyle w:val="Heading1Char"/>
                <w:bCs/>
                <w:sz w:val="20"/>
              </w:rPr>
            </w:pPr>
            <w:r>
              <w:rPr>
                <w:rStyle w:val="Heading1Char"/>
                <w:bCs/>
                <w:sz w:val="20"/>
              </w:rPr>
              <w:t>Parents/guardians can be held criminally responsible for failure to send their child to school regularly</w:t>
            </w:r>
          </w:p>
          <w:p w:rsidR="00CA6A81" w:rsidRPr="00CA6A81" w:rsidRDefault="00CA6A81" w:rsidP="00CA6A81"/>
          <w:p w:rsidR="00CA6A81" w:rsidRDefault="00CA6A81" w:rsidP="00CA6A81">
            <w:pPr>
              <w:pStyle w:val="Heading1"/>
              <w:rPr>
                <w:rStyle w:val="Heading1Char"/>
                <w:b/>
                <w:bCs/>
              </w:rPr>
            </w:pPr>
          </w:p>
          <w:p w:rsidR="00CA6A81" w:rsidRDefault="00CA6A81" w:rsidP="00CA6A81">
            <w:pPr>
              <w:pStyle w:val="Heading1"/>
              <w:rPr>
                <w:rStyle w:val="Heading1Char"/>
                <w:b/>
                <w:bCs/>
              </w:rPr>
            </w:pPr>
          </w:p>
          <w:p w:rsidR="00CA6A81" w:rsidRDefault="00CA6A81" w:rsidP="00CA6A81">
            <w:pPr>
              <w:pStyle w:val="Heading1"/>
              <w:rPr>
                <w:rStyle w:val="Heading1Char"/>
                <w:b/>
                <w:bCs/>
              </w:rPr>
            </w:pPr>
          </w:p>
          <w:p w:rsidR="009E491E" w:rsidRDefault="00B720AE" w:rsidP="00CA6A81">
            <w:pPr>
              <w:pStyle w:val="Heading1"/>
            </w:pPr>
            <w:r>
              <w:t xml:space="preserve"> </w:t>
            </w:r>
          </w:p>
        </w:tc>
        <w:tc>
          <w:tcPr>
            <w:tcW w:w="713" w:type="dxa"/>
          </w:tcPr>
          <w:p w:rsidR="009E491E" w:rsidRDefault="009E491E"/>
        </w:tc>
        <w:tc>
          <w:tcPr>
            <w:tcW w:w="713" w:type="dxa"/>
          </w:tcPr>
          <w:p w:rsidR="009E491E" w:rsidRDefault="009E491E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9E491E">
              <w:trPr>
                <w:trHeight w:hRule="exact" w:val="7920"/>
              </w:trPr>
              <w:tc>
                <w:tcPr>
                  <w:tcW w:w="5000" w:type="pct"/>
                </w:tcPr>
                <w:p w:rsidR="009E491E" w:rsidRDefault="00137ABD" w:rsidP="00D340E8">
                  <w:pPr>
                    <w:pStyle w:val="Heading2"/>
                  </w:pPr>
                  <w:r>
                    <w:t>Sligo Middle School</w:t>
                  </w:r>
                </w:p>
                <w:p w:rsidR="00D340E8" w:rsidRDefault="00D340E8" w:rsidP="00D340E8">
                  <w:pPr>
                    <w:spacing w:line="240" w:lineRule="auto"/>
                  </w:pPr>
                  <w:r>
                    <w:t>1401 Dennis Ave</w:t>
                  </w:r>
                </w:p>
                <w:p w:rsidR="00D340E8" w:rsidRPr="00D340E8" w:rsidRDefault="00D340E8" w:rsidP="00D340E8">
                  <w:pPr>
                    <w:spacing w:line="240" w:lineRule="auto"/>
                  </w:pPr>
                  <w:r>
                    <w:t>Silver Spring MD 20902</w:t>
                  </w:r>
                  <w:bookmarkStart w:id="0" w:name="_GoBack"/>
                  <w:bookmarkEnd w:id="0"/>
                </w:p>
                <w:p w:rsidR="009E491E" w:rsidRDefault="002422AE" w:rsidP="00D340E8">
                  <w:pPr>
                    <w:pStyle w:val="Heading2"/>
                  </w:pPr>
                  <w:r>
                    <w:t>Contact Us</w:t>
                  </w:r>
                </w:p>
                <w:p w:rsidR="009E491E" w:rsidRDefault="002422AE" w:rsidP="009949D5">
                  <w:r>
                    <w:t xml:space="preserve">Phone: </w:t>
                  </w:r>
                  <w:r w:rsidR="00137ABD">
                    <w:t>301.287.8970</w:t>
                  </w:r>
                </w:p>
              </w:tc>
            </w:tr>
            <w:tr w:rsidR="009E491E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9E491E">
                    <w:sdt>
                      <w:sdtPr>
                        <w:rPr>
                          <w:noProof/>
                          <w:lang w:eastAsia="en-US"/>
                        </w:r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:rsidR="009E491E" w:rsidRDefault="002422A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D9D826E" wp14:editId="4EA1A95A">
                                  <wp:extent cx="774700" cy="413385"/>
                                  <wp:effectExtent l="0" t="0" r="635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:rsidR="009E491E" w:rsidRDefault="009E491E"/>
                    </w:tc>
                    <w:tc>
                      <w:tcPr>
                        <w:tcW w:w="3050" w:type="pct"/>
                      </w:tcPr>
                      <w:sdt>
                        <w:sdtPr>
                          <w:alias w:val="Company"/>
                          <w:tag w:val=""/>
                          <w:id w:val="1621798997"/>
                          <w:placeholder>
                            <w:docPart w:val="E0BE967838B34206AF7EC9DA2EDC1961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9E491E" w:rsidRDefault="009949D5">
                            <w:pPr>
                              <w:pStyle w:val="Company"/>
                            </w:pPr>
                            <w:r>
                              <w:t>ATTENDANCE POLICY</w:t>
                            </w:r>
                          </w:p>
                        </w:sdtContent>
                      </w:sdt>
                      <w:p w:rsidR="002422AE" w:rsidRDefault="002422AE" w:rsidP="002422AE">
                        <w:pPr>
                          <w:pStyle w:val="Footer"/>
                        </w:pPr>
                      </w:p>
                    </w:tc>
                  </w:tr>
                </w:tbl>
                <w:p w:rsidR="009E491E" w:rsidRDefault="009E491E"/>
              </w:tc>
            </w:tr>
          </w:tbl>
          <w:p w:rsidR="009E491E" w:rsidRDefault="009E491E"/>
        </w:tc>
        <w:tc>
          <w:tcPr>
            <w:tcW w:w="720" w:type="dxa"/>
          </w:tcPr>
          <w:p w:rsidR="009E491E" w:rsidRDefault="009E491E"/>
        </w:tc>
        <w:tc>
          <w:tcPr>
            <w:tcW w:w="720" w:type="dxa"/>
          </w:tcPr>
          <w:p w:rsidR="009E491E" w:rsidRDefault="009E491E"/>
        </w:tc>
        <w:tc>
          <w:tcPr>
            <w:tcW w:w="3851" w:type="dxa"/>
          </w:tcPr>
          <w:tbl>
            <w:tblPr>
              <w:tblStyle w:val="TableLayout"/>
              <w:tblW w:w="4584" w:type="dxa"/>
              <w:tblLayout w:type="fixed"/>
              <w:tblLook w:val="04A0" w:firstRow="1" w:lastRow="0" w:firstColumn="1" w:lastColumn="0" w:noHBand="0" w:noVBand="1"/>
            </w:tblPr>
            <w:tblGrid>
              <w:gridCol w:w="4584"/>
            </w:tblGrid>
            <w:tr w:rsidR="009E491E" w:rsidTr="009949D5">
              <w:trPr>
                <w:trHeight w:hRule="exact" w:val="5245"/>
              </w:trPr>
              <w:sdt>
                <w:sdtPr>
                  <w:rPr>
                    <w:noProof/>
                    <w:lang w:eastAsia="en-US"/>
                  </w:r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9E491E" w:rsidRDefault="00D41EF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1E30B76" wp14:editId="0E3B828A">
                            <wp:extent cx="2697480" cy="1940560"/>
                            <wp:effectExtent l="0" t="0" r="762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7480" cy="194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9E491E" w:rsidTr="009949D5">
              <w:trPr>
                <w:trHeight w:hRule="exact" w:val="75"/>
              </w:trPr>
              <w:tc>
                <w:tcPr>
                  <w:tcW w:w="5000" w:type="pct"/>
                </w:tcPr>
                <w:p w:rsidR="009E491E" w:rsidRDefault="009E491E"/>
              </w:tc>
            </w:tr>
            <w:tr w:rsidR="009E491E" w:rsidTr="009949D5">
              <w:trPr>
                <w:trHeight w:hRule="exact" w:val="3372"/>
              </w:trPr>
              <w:sdt>
                <w:sdtPr>
                  <w:rPr>
                    <w:rFonts w:ascii="Footlight MT Light" w:hAnsi="Footlight MT Light"/>
                  </w:rPr>
                  <w:alias w:val="Company"/>
                  <w:tag w:val=""/>
                  <w:id w:val="1477263083"/>
                  <w:placeholder>
                    <w:docPart w:val="E0BE967838B34206AF7EC9DA2EDC1961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9E491E" w:rsidRDefault="009949D5" w:rsidP="009949D5">
                      <w:pPr>
                        <w:pStyle w:val="Title"/>
                      </w:pPr>
                      <w:r>
                        <w:rPr>
                          <w:rFonts w:ascii="Footlight MT Light" w:hAnsi="Footlight MT Light"/>
                        </w:rPr>
                        <w:t>ATTENDANCE POLICY</w:t>
                      </w:r>
                    </w:p>
                  </w:tc>
                </w:sdtContent>
              </w:sdt>
            </w:tr>
            <w:tr w:rsidR="009E491E" w:rsidTr="009949D5">
              <w:trPr>
                <w:trHeight w:hRule="exact" w:val="2838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9E491E" w:rsidRDefault="009E491E" w:rsidP="002422AE">
                  <w:pPr>
                    <w:pStyle w:val="Subtitle"/>
                  </w:pPr>
                </w:p>
              </w:tc>
            </w:tr>
          </w:tbl>
          <w:p w:rsidR="009E491E" w:rsidRDefault="009E491E"/>
        </w:tc>
      </w:tr>
    </w:tbl>
    <w:p w:rsidR="009E491E" w:rsidRDefault="009E491E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914"/>
        <w:gridCol w:w="649"/>
        <w:gridCol w:w="720"/>
        <w:gridCol w:w="3851"/>
      </w:tblGrid>
      <w:tr w:rsidR="009E491E" w:rsidTr="00AC5B3D">
        <w:trPr>
          <w:trHeight w:hRule="exact" w:val="10980"/>
          <w:jc w:val="center"/>
        </w:trPr>
        <w:tc>
          <w:tcPr>
            <w:tcW w:w="3840" w:type="dxa"/>
          </w:tcPr>
          <w:sdt>
            <w:sdtPr>
              <w:rPr>
                <w:noProof/>
                <w:lang w:eastAsia="en-US"/>
              </w:rPr>
              <w:id w:val="-1941750188"/>
              <w:picture/>
            </w:sdtPr>
            <w:sdtEndPr/>
            <w:sdtContent>
              <w:p w:rsidR="009E491E" w:rsidRDefault="00063883">
                <w:r>
                  <w:rPr>
                    <w:noProof/>
                    <w:lang w:eastAsia="en-US"/>
                  </w:rPr>
                  <w:drawing>
                    <wp:inline distT="0" distB="0" distL="0" distR="0" wp14:anchorId="0E961891" wp14:editId="2F393BCF">
                      <wp:extent cx="2438400" cy="1820333"/>
                      <wp:effectExtent l="0" t="0" r="0" b="889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8203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E491E" w:rsidRDefault="00772B61" w:rsidP="00772B61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What is the policy?</w:t>
            </w:r>
          </w:p>
          <w:p w:rsidR="00772B61" w:rsidRDefault="00772B61" w:rsidP="00772B61"/>
          <w:p w:rsidR="00772B61" w:rsidRDefault="00772B61" w:rsidP="00772B61">
            <w:r>
              <w:t xml:space="preserve">Children between the ages of 5 and 17 must attend school per Maryland state law.  </w:t>
            </w:r>
            <w:r w:rsidR="00B720AE">
              <w:t xml:space="preserve">Maryland recognizes home instruction as an alternative to public school enrollment as a means of meeting the compulsory attendance law.  A child must be </w:t>
            </w:r>
            <w:r w:rsidR="00063883">
              <w:t xml:space="preserve">formally </w:t>
            </w:r>
            <w:r w:rsidR="00B720AE">
              <w:t>enrolled in home instruction.</w:t>
            </w:r>
          </w:p>
          <w:p w:rsidR="00BB4369" w:rsidRDefault="00B720AE" w:rsidP="00772B61">
            <w:r>
              <w:t>For Kinderga</w:t>
            </w:r>
            <w:r w:rsidR="00E561CB">
              <w:t>rten students</w:t>
            </w:r>
            <w:r>
              <w:t>, state law allows for 3 exceptions to the attendance requirement: for immaturity; for attendance in a licensed child-care center; or for attendance in a registered family day-ca</w:t>
            </w:r>
            <w:r w:rsidR="00E561CB">
              <w:t>re home.</w:t>
            </w:r>
          </w:p>
          <w:p w:rsidR="00BB4369" w:rsidRDefault="00BB4369" w:rsidP="00BB4369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What is the definition of Truancy?</w:t>
            </w:r>
          </w:p>
          <w:p w:rsidR="00BB4369" w:rsidRDefault="00BB4369" w:rsidP="00BB4369"/>
          <w:p w:rsidR="00BB4369" w:rsidRPr="00772B61" w:rsidRDefault="00BB4369" w:rsidP="00BB4369">
            <w:r>
              <w:t>Truancy is defined as a student who has more than 20% unlawful or unexcused absences.  Parents/guardians are responsible for their child’s attendance.</w:t>
            </w:r>
          </w:p>
        </w:tc>
        <w:tc>
          <w:tcPr>
            <w:tcW w:w="713" w:type="dxa"/>
          </w:tcPr>
          <w:p w:rsidR="009E491E" w:rsidRDefault="009E491E"/>
        </w:tc>
        <w:tc>
          <w:tcPr>
            <w:tcW w:w="713" w:type="dxa"/>
          </w:tcPr>
          <w:p w:rsidR="009E491E" w:rsidRDefault="009E491E"/>
        </w:tc>
        <w:tc>
          <w:tcPr>
            <w:tcW w:w="3914" w:type="dxa"/>
          </w:tcPr>
          <w:p w:rsidR="00B720AE" w:rsidRDefault="00B720AE" w:rsidP="00B720AE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 xml:space="preserve">What is a Lawful </w:t>
            </w:r>
            <w:r w:rsidR="008155DD">
              <w:rPr>
                <w:rStyle w:val="Heading1Char"/>
                <w:b/>
                <w:bCs/>
              </w:rPr>
              <w:t>vs.</w:t>
            </w:r>
            <w:r>
              <w:rPr>
                <w:rStyle w:val="Heading1Char"/>
                <w:b/>
                <w:bCs/>
              </w:rPr>
              <w:t xml:space="preserve"> Unlawful Absence?</w:t>
            </w:r>
          </w:p>
          <w:p w:rsidR="00B720AE" w:rsidRDefault="00B720AE" w:rsidP="00B720AE"/>
          <w:p w:rsidR="009E491E" w:rsidRDefault="00E561CB" w:rsidP="00B720AE">
            <w:r>
              <w:t>Each school’s responsibility is to record attendance for each student.  A lawful or excused absence is considered under the following circumstances:</w:t>
            </w:r>
          </w:p>
          <w:p w:rsidR="00E561CB" w:rsidRDefault="00E561CB" w:rsidP="00E561CB">
            <w:pPr>
              <w:pStyle w:val="ListParagraph"/>
              <w:numPr>
                <w:ilvl w:val="0"/>
                <w:numId w:val="6"/>
              </w:numPr>
            </w:pPr>
            <w:r>
              <w:t>Illness of student or student’s child</w:t>
            </w:r>
          </w:p>
          <w:p w:rsidR="00E561CB" w:rsidRDefault="00E561CB" w:rsidP="00E561CB">
            <w:pPr>
              <w:pStyle w:val="ListParagraph"/>
              <w:numPr>
                <w:ilvl w:val="0"/>
                <w:numId w:val="6"/>
              </w:numPr>
            </w:pPr>
            <w:r>
              <w:t>Death in immediate family</w:t>
            </w:r>
          </w:p>
          <w:p w:rsidR="00E561CB" w:rsidRDefault="008155DD" w:rsidP="00E561CB">
            <w:pPr>
              <w:pStyle w:val="ListParagraph"/>
              <w:numPr>
                <w:ilvl w:val="0"/>
                <w:numId w:val="6"/>
              </w:numPr>
            </w:pPr>
            <w:r>
              <w:t>Observance of a religious holiday</w:t>
            </w:r>
          </w:p>
          <w:p w:rsidR="008155DD" w:rsidRDefault="008155DD" w:rsidP="008155DD">
            <w:pPr>
              <w:pStyle w:val="ListParagraph"/>
              <w:numPr>
                <w:ilvl w:val="0"/>
                <w:numId w:val="6"/>
              </w:numPr>
            </w:pPr>
            <w:r>
              <w:t>State emergency or hazardous weather conditions</w:t>
            </w:r>
          </w:p>
          <w:p w:rsidR="008155DD" w:rsidRDefault="008155DD" w:rsidP="008155DD">
            <w:pPr>
              <w:pStyle w:val="ListParagraph"/>
              <w:numPr>
                <w:ilvl w:val="0"/>
                <w:numId w:val="6"/>
              </w:numPr>
            </w:pPr>
            <w:r>
              <w:t>Court summons</w:t>
            </w:r>
          </w:p>
          <w:p w:rsidR="008155DD" w:rsidRDefault="008155DD" w:rsidP="008155DD">
            <w:pPr>
              <w:pStyle w:val="ListParagraph"/>
              <w:numPr>
                <w:ilvl w:val="0"/>
                <w:numId w:val="6"/>
              </w:numPr>
            </w:pPr>
            <w:r>
              <w:t>Suspension</w:t>
            </w:r>
          </w:p>
          <w:p w:rsidR="008155DD" w:rsidRDefault="008155DD" w:rsidP="008155DD">
            <w:pPr>
              <w:pStyle w:val="ListParagraph"/>
              <w:numPr>
                <w:ilvl w:val="0"/>
                <w:numId w:val="6"/>
              </w:numPr>
            </w:pPr>
            <w:r>
              <w:t>Work approved or sponsored by the school</w:t>
            </w:r>
          </w:p>
          <w:p w:rsidR="008155DD" w:rsidRDefault="008155DD" w:rsidP="008155DD">
            <w:pPr>
              <w:pStyle w:val="ListParagraph"/>
              <w:numPr>
                <w:ilvl w:val="0"/>
                <w:numId w:val="6"/>
              </w:numPr>
            </w:pPr>
            <w:r>
              <w:t>Failure of MCPS authorized transportation to eligible students</w:t>
            </w:r>
          </w:p>
          <w:p w:rsidR="008155DD" w:rsidRDefault="008155DD" w:rsidP="008155DD">
            <w:r>
              <w:t xml:space="preserve">Any absences for reasons other than those specified above are considered unexcused </w:t>
            </w:r>
            <w:r w:rsidR="00AC5B3D">
              <w:t>or unlawful</w:t>
            </w:r>
            <w:r>
              <w:t xml:space="preserve"> unless permitted at the discretion of the principal/designee.  Normally, absences for travel are not lawful or excused.</w:t>
            </w:r>
          </w:p>
          <w:p w:rsidR="00B720AE" w:rsidRDefault="00BB4369" w:rsidP="00B720AE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Importance of Good Attendance</w:t>
            </w:r>
          </w:p>
          <w:p w:rsidR="00BB4369" w:rsidRDefault="00BB4369" w:rsidP="00347FC3"/>
          <w:p w:rsidR="009E491E" w:rsidRDefault="00BB4369" w:rsidP="00AC5B3D">
            <w:r>
              <w:t>Regular school attendance is the key to high school graduation and future achievement.  Poor attendance in eleme</w:t>
            </w:r>
            <w:r w:rsidR="00FE06EE">
              <w:t>ntary school has been identified as an early warning sign to</w:t>
            </w:r>
            <w:r w:rsidR="00AC5B3D">
              <w:t xml:space="preserve"> delinquency, social problems, and school failure or dropping out.</w:t>
            </w:r>
          </w:p>
        </w:tc>
        <w:tc>
          <w:tcPr>
            <w:tcW w:w="649" w:type="dxa"/>
          </w:tcPr>
          <w:p w:rsidR="009E491E" w:rsidRDefault="009E491E"/>
        </w:tc>
        <w:tc>
          <w:tcPr>
            <w:tcW w:w="720" w:type="dxa"/>
          </w:tcPr>
          <w:p w:rsidR="009E491E" w:rsidRDefault="009E491E"/>
        </w:tc>
        <w:tc>
          <w:tcPr>
            <w:tcW w:w="3851" w:type="dxa"/>
          </w:tcPr>
          <w:p w:rsidR="009E491E" w:rsidRDefault="00063883">
            <w:pPr>
              <w:pStyle w:val="Caption"/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09BBA0D2" wp14:editId="62DD947E">
                  <wp:extent cx="2463983" cy="1193800"/>
                  <wp:effectExtent l="0" t="0" r="0" b="6350"/>
                  <wp:docPr id="6" name="irc_mi" descr="http://alvordschools.org/cms/lib8/CA01900929/Centricity/Domain/1093/Attendance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lvordschools.org/cms/lib8/CA01900929/Centricity/Domain/1093/Attendanc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964" cy="121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0AE" w:rsidRDefault="008155DD" w:rsidP="00B720AE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What if my child has excessive absences</w:t>
            </w:r>
            <w:r w:rsidR="00B720AE">
              <w:rPr>
                <w:rStyle w:val="Heading1Char"/>
                <w:b/>
                <w:bCs/>
              </w:rPr>
              <w:t>?</w:t>
            </w:r>
          </w:p>
          <w:p w:rsidR="00347FC3" w:rsidRDefault="00347FC3" w:rsidP="00B720AE"/>
          <w:p w:rsidR="009E491E" w:rsidRDefault="00347FC3" w:rsidP="00B720AE">
            <w:r>
              <w:t xml:space="preserve">If a student’s attendance becomes a concern, </w:t>
            </w:r>
            <w:r w:rsidR="004C224F">
              <w:t xml:space="preserve">they may be referred for interventions to increase </w:t>
            </w:r>
            <w:r w:rsidR="00187AAE">
              <w:t xml:space="preserve">regular </w:t>
            </w:r>
            <w:r w:rsidR="004C224F">
              <w:t xml:space="preserve">school attendance. </w:t>
            </w:r>
            <w:r w:rsidR="00B720AE">
              <w:t xml:space="preserve">  </w:t>
            </w:r>
            <w:r w:rsidR="00187AAE">
              <w:t>The following are possible interventions:</w:t>
            </w:r>
          </w:p>
          <w:p w:rsidR="00187AAE" w:rsidRDefault="00187AAE" w:rsidP="00187AAE">
            <w:pPr>
              <w:pStyle w:val="ListParagraph"/>
              <w:numPr>
                <w:ilvl w:val="0"/>
                <w:numId w:val="8"/>
              </w:numPr>
            </w:pPr>
            <w:r>
              <w:t>Required doctor’s note for excessive or chronic absences</w:t>
            </w:r>
          </w:p>
          <w:p w:rsidR="00187AAE" w:rsidRDefault="00AC5B3D" w:rsidP="00187AAE">
            <w:pPr>
              <w:pStyle w:val="ListParagraph"/>
              <w:numPr>
                <w:ilvl w:val="0"/>
                <w:numId w:val="8"/>
              </w:numPr>
            </w:pPr>
            <w:r>
              <w:t>Letters of</w:t>
            </w:r>
            <w:r w:rsidR="00971F53">
              <w:t xml:space="preserve"> notification </w:t>
            </w:r>
            <w:r w:rsidR="00187AAE">
              <w:t>informing parents of concern</w:t>
            </w:r>
          </w:p>
          <w:p w:rsidR="00187AAE" w:rsidRDefault="00AC5B3D" w:rsidP="00187AAE">
            <w:pPr>
              <w:pStyle w:val="ListParagraph"/>
              <w:numPr>
                <w:ilvl w:val="0"/>
                <w:numId w:val="8"/>
              </w:numPr>
            </w:pPr>
            <w:r>
              <w:t>Home visits</w:t>
            </w:r>
          </w:p>
          <w:p w:rsidR="00187AAE" w:rsidRDefault="00187AAE" w:rsidP="00187AAE">
            <w:pPr>
              <w:pStyle w:val="ListParagraph"/>
              <w:numPr>
                <w:ilvl w:val="0"/>
                <w:numId w:val="8"/>
              </w:numPr>
            </w:pPr>
            <w:r>
              <w:t>P</w:t>
            </w:r>
            <w:r w:rsidR="00971F53">
              <w:t>arent p</w:t>
            </w:r>
            <w:r>
              <w:t>ho</w:t>
            </w:r>
            <w:r w:rsidR="00AC5B3D">
              <w:t>ne calls/meetings</w:t>
            </w:r>
          </w:p>
          <w:p w:rsidR="00971F53" w:rsidRDefault="00971F53" w:rsidP="00187AAE">
            <w:pPr>
              <w:pStyle w:val="ListParagraph"/>
              <w:numPr>
                <w:ilvl w:val="0"/>
                <w:numId w:val="8"/>
              </w:numPr>
            </w:pPr>
            <w:r>
              <w:t>School counselor support</w:t>
            </w:r>
          </w:p>
          <w:p w:rsidR="00971F53" w:rsidRDefault="00971F53" w:rsidP="00187AAE">
            <w:pPr>
              <w:pStyle w:val="ListParagraph"/>
              <w:numPr>
                <w:ilvl w:val="0"/>
                <w:numId w:val="8"/>
              </w:numPr>
            </w:pPr>
            <w:r>
              <w:t>Attendance intervention plans/contracts</w:t>
            </w:r>
          </w:p>
          <w:p w:rsidR="00187AAE" w:rsidRDefault="00187AAE" w:rsidP="00187AAE">
            <w:pPr>
              <w:pStyle w:val="ListParagraph"/>
              <w:numPr>
                <w:ilvl w:val="0"/>
                <w:numId w:val="8"/>
              </w:numPr>
            </w:pPr>
            <w:r>
              <w:t xml:space="preserve">Referrals to outside agencies </w:t>
            </w:r>
          </w:p>
          <w:p w:rsidR="00187AAE" w:rsidRDefault="00187AAE" w:rsidP="00187AAE">
            <w:pPr>
              <w:pStyle w:val="ListParagraph"/>
              <w:numPr>
                <w:ilvl w:val="0"/>
                <w:numId w:val="8"/>
              </w:numPr>
            </w:pPr>
            <w:r>
              <w:t>Referrals to Attendance Matters</w:t>
            </w:r>
          </w:p>
          <w:p w:rsidR="00187AAE" w:rsidRDefault="00187AAE" w:rsidP="00187AAE">
            <w:pPr>
              <w:pStyle w:val="ListParagraph"/>
              <w:numPr>
                <w:ilvl w:val="0"/>
                <w:numId w:val="8"/>
              </w:numPr>
            </w:pPr>
            <w:r>
              <w:t>Referrals to Truancy Review Board</w:t>
            </w:r>
          </w:p>
          <w:p w:rsidR="00187AAE" w:rsidRDefault="00A103F1" w:rsidP="00187AAE">
            <w:pPr>
              <w:pStyle w:val="ListParagraph"/>
              <w:numPr>
                <w:ilvl w:val="0"/>
                <w:numId w:val="8"/>
              </w:numPr>
            </w:pPr>
            <w:r>
              <w:t>Referrals to court</w:t>
            </w:r>
          </w:p>
        </w:tc>
      </w:tr>
    </w:tbl>
    <w:p w:rsidR="009E491E" w:rsidRDefault="009E491E">
      <w:pPr>
        <w:pStyle w:val="NoSpacing"/>
      </w:pPr>
    </w:p>
    <w:sectPr w:rsidR="009E491E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69" w:rsidRDefault="00BB4369" w:rsidP="00BB4369">
      <w:pPr>
        <w:spacing w:after="0" w:line="240" w:lineRule="auto"/>
      </w:pPr>
      <w:r>
        <w:separator/>
      </w:r>
    </w:p>
  </w:endnote>
  <w:endnote w:type="continuationSeparator" w:id="0">
    <w:p w:rsidR="00BB4369" w:rsidRDefault="00BB4369" w:rsidP="00BB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69" w:rsidRDefault="00BB4369" w:rsidP="00BB4369">
      <w:pPr>
        <w:spacing w:after="0" w:line="240" w:lineRule="auto"/>
      </w:pPr>
      <w:r>
        <w:separator/>
      </w:r>
    </w:p>
  </w:footnote>
  <w:footnote w:type="continuationSeparator" w:id="0">
    <w:p w:rsidR="00BB4369" w:rsidRDefault="00BB4369" w:rsidP="00BB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B577F71"/>
    <w:multiLevelType w:val="hybridMultilevel"/>
    <w:tmpl w:val="308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695"/>
    <w:multiLevelType w:val="hybridMultilevel"/>
    <w:tmpl w:val="5A80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41AFD"/>
    <w:multiLevelType w:val="hybridMultilevel"/>
    <w:tmpl w:val="1D5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9"/>
    <w:rsid w:val="00063883"/>
    <w:rsid w:val="000B6679"/>
    <w:rsid w:val="000D0663"/>
    <w:rsid w:val="00137ABD"/>
    <w:rsid w:val="00187AAE"/>
    <w:rsid w:val="002422AE"/>
    <w:rsid w:val="00347FC3"/>
    <w:rsid w:val="004C224F"/>
    <w:rsid w:val="00553D27"/>
    <w:rsid w:val="00745905"/>
    <w:rsid w:val="00764176"/>
    <w:rsid w:val="00772B61"/>
    <w:rsid w:val="008155DD"/>
    <w:rsid w:val="00971F53"/>
    <w:rsid w:val="009949D5"/>
    <w:rsid w:val="009E491E"/>
    <w:rsid w:val="00A103F1"/>
    <w:rsid w:val="00A82E5D"/>
    <w:rsid w:val="00AC5B3D"/>
    <w:rsid w:val="00B720AE"/>
    <w:rsid w:val="00BB4369"/>
    <w:rsid w:val="00CA6A81"/>
    <w:rsid w:val="00D340E8"/>
    <w:rsid w:val="00D41EFE"/>
    <w:rsid w:val="00E561CB"/>
    <w:rsid w:val="00F27369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20D24-8059-4E51-9B51-2F57E3D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56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69"/>
  </w:style>
  <w:style w:type="paragraph" w:styleId="BalloonText">
    <w:name w:val="Balloon Text"/>
    <w:basedOn w:val="Normal"/>
    <w:link w:val="BalloonTextChar"/>
    <w:uiPriority w:val="99"/>
    <w:semiHidden/>
    <w:unhideWhenUsed/>
    <w:rsid w:val="00AC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jG2q-z3ZHOAhUGVj4KHZnrAdwQjRwIBw&amp;url=http://alvordschools.org/Page/4991&amp;bvm=bv.127984354,d.cWw&amp;psig=AFQjCNFdhISV90dmW1u3JbMUEHTJaDZ26w&amp;ust=14696430783025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ohnja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BE967838B34206AF7EC9DA2EDC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792D-0F3D-4626-BE4C-EDB45E217FED}"/>
      </w:docPartPr>
      <w:docPartBody>
        <w:p w:rsidR="00CB1A20" w:rsidRDefault="00CB1A20">
          <w:pPr>
            <w:pStyle w:val="E0BE967838B34206AF7EC9DA2EDC196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20"/>
    <w:rsid w:val="00C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00C06A73840D6BD38663E2C4C1DB2">
    <w:name w:val="D2900C06A73840D6BD38663E2C4C1DB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50637D" w:themeColor="text2" w:themeTint="E6"/>
      <w:sz w:val="20"/>
    </w:rPr>
  </w:style>
  <w:style w:type="paragraph" w:customStyle="1" w:styleId="DF1507423FD642A89AACD4B700518093">
    <w:name w:val="DF1507423FD642A89AACD4B700518093"/>
  </w:style>
  <w:style w:type="paragraph" w:customStyle="1" w:styleId="22CA1CF2989442C4A270B5002162F4FB">
    <w:name w:val="22CA1CF2989442C4A270B5002162F4FB"/>
  </w:style>
  <w:style w:type="paragraph" w:customStyle="1" w:styleId="421867EAD5464A0BBD1E91888D3E57EE">
    <w:name w:val="421867EAD5464A0BBD1E91888D3E57EE"/>
  </w:style>
  <w:style w:type="paragraph" w:customStyle="1" w:styleId="D6B5FFE9EA0548DC9F6580F5DB921D74">
    <w:name w:val="D6B5FFE9EA0548DC9F6580F5DB921D74"/>
  </w:style>
  <w:style w:type="paragraph" w:customStyle="1" w:styleId="7269419B770E4075A7B5F1D7F9E228EB">
    <w:name w:val="7269419B770E4075A7B5F1D7F9E228EB"/>
  </w:style>
  <w:style w:type="paragraph" w:customStyle="1" w:styleId="E0BE967838B34206AF7EC9DA2EDC1961">
    <w:name w:val="E0BE967838B34206AF7EC9DA2EDC1961"/>
  </w:style>
  <w:style w:type="paragraph" w:customStyle="1" w:styleId="05FF5819437F45EBA5997C0F285E8455">
    <w:name w:val="05FF5819437F45EBA5997C0F285E8455"/>
  </w:style>
  <w:style w:type="paragraph" w:customStyle="1" w:styleId="9102FF5DED3E411A95DCB962FAD62C33">
    <w:name w:val="9102FF5DED3E411A95DCB962FAD62C33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paragraph" w:customStyle="1" w:styleId="CE8743A12E2543AFBC13FC085A789CDE">
    <w:name w:val="CE8743A12E2543AFBC13FC085A789CDE"/>
  </w:style>
  <w:style w:type="paragraph" w:customStyle="1" w:styleId="76FC2BBA4A5041C9A1D9636352095350">
    <w:name w:val="76FC2BBA4A5041C9A1D9636352095350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2E74B5" w:themeColor="accent1" w:themeShade="BF"/>
      <w:sz w:val="30"/>
    </w:rPr>
  </w:style>
  <w:style w:type="paragraph" w:customStyle="1" w:styleId="1A847B40865C4374B4A25C6C9DAE8631">
    <w:name w:val="1A847B40865C4374B4A25C6C9DAE8631"/>
  </w:style>
  <w:style w:type="paragraph" w:customStyle="1" w:styleId="B5E5C8D60DC24FF28A267A22BD334E18">
    <w:name w:val="B5E5C8D60DC24FF28A267A22BD334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3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ATTENDANCE POLICY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MCPS</dc:creator>
  <cp:keywords/>
  <cp:lastModifiedBy>Stith, Terri L</cp:lastModifiedBy>
  <cp:revision>2</cp:revision>
  <cp:lastPrinted>2017-01-11T18:47:00Z</cp:lastPrinted>
  <dcterms:created xsi:type="dcterms:W3CDTF">2017-01-17T13:53:00Z</dcterms:created>
  <dcterms:modified xsi:type="dcterms:W3CDTF">2017-01-17T13:53:00Z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