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CFC" w:rsidRDefault="00145A9D">
      <w:pPr>
        <w:pStyle w:val="Title"/>
        <w:jc w:val="center"/>
        <w:rPr>
          <w:rFonts w:ascii="Open Sans" w:eastAsia="Open Sans" w:hAnsi="Open Sans" w:cs="Open Sans"/>
          <w:sz w:val="48"/>
          <w:szCs w:val="48"/>
        </w:rPr>
      </w:pPr>
      <w:bookmarkStart w:id="0" w:name="_dm1phdbzzi5c" w:colFirst="0" w:colLast="0"/>
      <w:bookmarkEnd w:id="0"/>
      <w:r>
        <w:rPr>
          <w:rFonts w:ascii="Open Sans" w:eastAsia="Open Sans" w:hAnsi="Open Sans" w:cs="Open Sans"/>
          <w:sz w:val="48"/>
          <w:szCs w:val="48"/>
        </w:rPr>
        <w:t>School Improvement Overview</w:t>
      </w:r>
    </w:p>
    <w:p w:rsidR="00FA1CFC" w:rsidRDefault="00145A9D">
      <w:pPr>
        <w:pStyle w:val="Subtitle"/>
        <w:jc w:val="center"/>
        <w:rPr>
          <w:rFonts w:ascii="Open Sans" w:eastAsia="Open Sans" w:hAnsi="Open Sans" w:cs="Open Sans"/>
          <w:b/>
        </w:rPr>
      </w:pPr>
      <w:bookmarkStart w:id="1" w:name="_le7fveq7po18" w:colFirst="0" w:colLast="0"/>
      <w:bookmarkEnd w:id="1"/>
      <w:r>
        <w:rPr>
          <w:rFonts w:ascii="Open Sans" w:eastAsia="Open Sans" w:hAnsi="Open Sans" w:cs="Open Sans"/>
          <w:color w:val="000000"/>
        </w:rPr>
        <w:t>Parkland Magnet Middle Sc</w:t>
      </w:r>
      <w:r>
        <w:rPr>
          <w:rFonts w:ascii="Open Sans" w:eastAsia="Open Sans" w:hAnsi="Open Sans" w:cs="Open Sans"/>
          <w:color w:val="000000"/>
        </w:rPr>
        <w:t>hool for Aerospace Technology</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2465"/>
      </w:tblGrid>
      <w:tr w:rsidR="00FA1CFC">
        <w:trPr>
          <w:trHeight w:val="420"/>
        </w:trPr>
        <w:tc>
          <w:tcPr>
            <w:tcW w:w="14400" w:type="dxa"/>
            <w:gridSpan w:val="2"/>
            <w:shd w:val="clear" w:color="auto" w:fill="auto"/>
            <w:tcMar>
              <w:top w:w="100" w:type="dxa"/>
              <w:left w:w="100" w:type="dxa"/>
              <w:bottom w:w="100" w:type="dxa"/>
              <w:right w:w="100" w:type="dxa"/>
            </w:tcMar>
          </w:tcPr>
          <w:p w:rsidR="00FA1CFC" w:rsidRDefault="00145A9D">
            <w:pPr>
              <w:widowControl w:val="0"/>
              <w:pBdr>
                <w:top w:val="nil"/>
                <w:left w:val="nil"/>
                <w:bottom w:val="nil"/>
                <w:right w:val="nil"/>
                <w:between w:val="nil"/>
              </w:pBdr>
              <w:spacing w:line="240" w:lineRule="auto"/>
              <w:jc w:val="center"/>
              <w:rPr>
                <w:rFonts w:ascii="Open Sans" w:eastAsia="Open Sans" w:hAnsi="Open Sans" w:cs="Open Sans"/>
                <w:i/>
              </w:rPr>
            </w:pPr>
            <w:r>
              <w:rPr>
                <w:rFonts w:ascii="Open Sans" w:eastAsia="Open Sans" w:hAnsi="Open Sans" w:cs="Open Sans"/>
                <w:b/>
              </w:rPr>
              <w:t xml:space="preserve">System Goal: </w:t>
            </w:r>
            <w:r>
              <w:rPr>
                <w:rFonts w:ascii="Open Sans" w:eastAsia="Open Sans" w:hAnsi="Open Sans" w:cs="Open Sans"/>
                <w:i/>
              </w:rPr>
              <w:t>All students will meet 2 or more Evidence of Learning Measures</w:t>
            </w:r>
          </w:p>
          <w:p w:rsidR="00FA1CFC" w:rsidRDefault="00FA1CFC">
            <w:pPr>
              <w:widowControl w:val="0"/>
              <w:pBdr>
                <w:top w:val="nil"/>
                <w:left w:val="nil"/>
                <w:bottom w:val="nil"/>
                <w:right w:val="nil"/>
                <w:between w:val="nil"/>
              </w:pBdr>
              <w:spacing w:line="240" w:lineRule="auto"/>
              <w:rPr>
                <w:rFonts w:ascii="Open Sans" w:eastAsia="Open Sans" w:hAnsi="Open Sans" w:cs="Open Sans"/>
                <w:b/>
              </w:rPr>
            </w:pPr>
          </w:p>
          <w:p w:rsidR="00FA1CFC" w:rsidRDefault="00145A9D">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 xml:space="preserve">School Goal(s): </w:t>
            </w:r>
          </w:p>
          <w:p w:rsidR="00FA1CFC" w:rsidRDefault="00145A9D">
            <w:pPr>
              <w:widowControl w:val="0"/>
              <w:numPr>
                <w:ilvl w:val="0"/>
                <w:numId w:val="5"/>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All students, with a focus on Hispanic FARMs and Special Education students,</w:t>
            </w:r>
            <w:r>
              <w:rPr>
                <w:rFonts w:ascii="Open Sans" w:eastAsia="Open Sans" w:hAnsi="Open Sans" w:cs="Open Sans"/>
                <w:b/>
              </w:rPr>
              <w:t xml:space="preserve"> </w:t>
            </w:r>
            <w:r>
              <w:rPr>
                <w:rFonts w:ascii="Open Sans" w:eastAsia="Open Sans" w:hAnsi="Open Sans" w:cs="Open Sans"/>
              </w:rPr>
              <w:t xml:space="preserve">will meet or demonstrate growth in the established benchmarks in the Common Writing Task of Analysis and Arguments (Q2, Q3, and Q4), benchmarks of MAP-R (specifically sub-strands </w:t>
            </w:r>
            <w:r>
              <w:rPr>
                <w:rFonts w:ascii="Open Sans" w:eastAsia="Open Sans" w:hAnsi="Open Sans" w:cs="Open Sans"/>
              </w:rPr>
              <w:t xml:space="preserve">of Literature and Informational Text), and </w:t>
            </w:r>
            <w:proofErr w:type="spellStart"/>
            <w:r>
              <w:rPr>
                <w:rFonts w:ascii="Open Sans" w:eastAsia="Open Sans" w:hAnsi="Open Sans" w:cs="Open Sans"/>
              </w:rPr>
              <w:t>Subclaim</w:t>
            </w:r>
            <w:proofErr w:type="spellEnd"/>
            <w:r>
              <w:rPr>
                <w:rFonts w:ascii="Open Sans" w:eastAsia="Open Sans" w:hAnsi="Open Sans" w:cs="Open Sans"/>
              </w:rPr>
              <w:t xml:space="preserve"> 4: Written Expression of MCAP. </w:t>
            </w:r>
          </w:p>
          <w:p w:rsidR="00FA1CFC" w:rsidRDefault="00145A9D">
            <w:pPr>
              <w:widowControl w:val="0"/>
              <w:numPr>
                <w:ilvl w:val="0"/>
                <w:numId w:val="5"/>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All students, with a focus on Hispanic FARMs and Special Education students, will meet or show growth the established benchmarks on Progress Checks, </w:t>
            </w:r>
            <w:proofErr w:type="spellStart"/>
            <w:r>
              <w:rPr>
                <w:rFonts w:ascii="Open Sans" w:eastAsia="Open Sans" w:hAnsi="Open Sans" w:cs="Open Sans"/>
              </w:rPr>
              <w:t>Subclaim</w:t>
            </w:r>
            <w:proofErr w:type="spellEnd"/>
            <w:r>
              <w:rPr>
                <w:rFonts w:ascii="Open Sans" w:eastAsia="Open Sans" w:hAnsi="Open Sans" w:cs="Open Sans"/>
              </w:rPr>
              <w:t xml:space="preserve"> 2: Mathematical Reasoning of MCAP, and benchmarks of MAP-M (specifically sub-strand of Operations </w:t>
            </w:r>
            <w:r>
              <w:rPr>
                <w:rFonts w:ascii="Open Sans" w:eastAsia="Open Sans" w:hAnsi="Open Sans" w:cs="Open Sans"/>
              </w:rPr>
              <w:t>and Algebraic Thinking).</w:t>
            </w:r>
          </w:p>
          <w:p w:rsidR="00FA1CFC" w:rsidRDefault="00145A9D">
            <w:pPr>
              <w:widowControl w:val="0"/>
              <w:spacing w:line="240" w:lineRule="auto"/>
              <w:rPr>
                <w:rFonts w:ascii="Open Sans" w:eastAsia="Open Sans" w:hAnsi="Open Sans" w:cs="Open Sans"/>
              </w:rPr>
            </w:pPr>
            <w:r>
              <w:rPr>
                <w:rFonts w:ascii="Open Sans" w:eastAsia="Open Sans" w:hAnsi="Open Sans" w:cs="Open Sans"/>
                <w:b/>
              </w:rPr>
              <w:t xml:space="preserve">Instructional Goal(s): </w:t>
            </w:r>
            <w:r>
              <w:rPr>
                <w:rFonts w:ascii="Open Sans" w:eastAsia="Open Sans" w:hAnsi="Open Sans" w:cs="Open Sans"/>
              </w:rPr>
              <w:t>Developed based on an internal measure from the EOL framework</w:t>
            </w:r>
          </w:p>
          <w:p w:rsidR="00FA1CFC" w:rsidRDefault="00145A9D">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rPr>
              <w:t xml:space="preserve">Instructional Goal(s): </w:t>
            </w:r>
            <w:r>
              <w:rPr>
                <w:rFonts w:ascii="Open Sans" w:eastAsia="Open Sans" w:hAnsi="Open Sans" w:cs="Open Sans"/>
              </w:rPr>
              <w:t>(List math and literacy goals for each grade level band.)</w:t>
            </w:r>
          </w:p>
        </w:tc>
      </w:tr>
      <w:tr w:rsidR="00FA1CFC">
        <w:tc>
          <w:tcPr>
            <w:tcW w:w="1935" w:type="dxa"/>
            <w:shd w:val="clear" w:color="auto" w:fill="auto"/>
            <w:tcMar>
              <w:top w:w="100" w:type="dxa"/>
              <w:left w:w="100" w:type="dxa"/>
              <w:bottom w:w="100" w:type="dxa"/>
              <w:right w:w="100" w:type="dxa"/>
            </w:tcMar>
          </w:tcPr>
          <w:p w:rsidR="00FA1CFC" w:rsidRDefault="00145A9D">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6-8 Goals:</w:t>
            </w:r>
          </w:p>
        </w:tc>
        <w:tc>
          <w:tcPr>
            <w:tcW w:w="12465" w:type="dxa"/>
            <w:shd w:val="clear" w:color="auto" w:fill="auto"/>
            <w:tcMar>
              <w:top w:w="100" w:type="dxa"/>
              <w:left w:w="100" w:type="dxa"/>
              <w:bottom w:w="100" w:type="dxa"/>
              <w:right w:w="100" w:type="dxa"/>
            </w:tcMar>
          </w:tcPr>
          <w:p w:rsidR="00FA1CFC" w:rsidRDefault="00145A9D">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Literacy</w:t>
            </w:r>
          </w:p>
          <w:p w:rsidR="00FA1CFC" w:rsidRDefault="00145A9D">
            <w:pPr>
              <w:widowControl w:val="0"/>
              <w:spacing w:line="240" w:lineRule="auto"/>
              <w:rPr>
                <w:rFonts w:ascii="Open Sans" w:eastAsia="Open Sans" w:hAnsi="Open Sans" w:cs="Open Sans"/>
                <w:b/>
              </w:rPr>
            </w:pPr>
            <w:r>
              <w:rPr>
                <w:rFonts w:ascii="Open Sans" w:eastAsia="Open Sans" w:hAnsi="Open Sans" w:cs="Open Sans"/>
              </w:rPr>
              <w:t>All students, with a focus on Hispanic FARMs,</w:t>
            </w:r>
            <w:r>
              <w:rPr>
                <w:rFonts w:ascii="Open Sans" w:eastAsia="Open Sans" w:hAnsi="Open Sans" w:cs="Open Sans"/>
                <w:b/>
              </w:rPr>
              <w:t xml:space="preserve"> </w:t>
            </w:r>
            <w:r>
              <w:rPr>
                <w:rFonts w:ascii="Open Sans" w:eastAsia="Open Sans" w:hAnsi="Open Sans" w:cs="Open Sans"/>
              </w:rPr>
              <w:t>will meet or demonstrate growth in the established benchmarks in the Common Writing Task of Analysis and Arguments (Q2, Q3, and Q4), benchmarks of MAP-R (specifically sub-strands of Literature and Informational</w:t>
            </w:r>
            <w:r>
              <w:rPr>
                <w:rFonts w:ascii="Open Sans" w:eastAsia="Open Sans" w:hAnsi="Open Sans" w:cs="Open Sans"/>
              </w:rPr>
              <w:t xml:space="preserve"> Text, and </w:t>
            </w:r>
            <w:proofErr w:type="spellStart"/>
            <w:r>
              <w:rPr>
                <w:rFonts w:ascii="Open Sans" w:eastAsia="Open Sans" w:hAnsi="Open Sans" w:cs="Open Sans"/>
              </w:rPr>
              <w:t>Subclaim</w:t>
            </w:r>
            <w:proofErr w:type="spellEnd"/>
            <w:r>
              <w:rPr>
                <w:rFonts w:ascii="Open Sans" w:eastAsia="Open Sans" w:hAnsi="Open Sans" w:cs="Open Sans"/>
              </w:rPr>
              <w:t xml:space="preserve"> 4: Written Expression of MCAP. </w:t>
            </w:r>
          </w:p>
          <w:p w:rsidR="00FA1CFC" w:rsidRDefault="00FA1CFC">
            <w:pPr>
              <w:widowControl w:val="0"/>
              <w:pBdr>
                <w:top w:val="nil"/>
                <w:left w:val="nil"/>
                <w:bottom w:val="nil"/>
                <w:right w:val="nil"/>
                <w:between w:val="nil"/>
              </w:pBdr>
              <w:spacing w:line="240" w:lineRule="auto"/>
              <w:rPr>
                <w:rFonts w:ascii="Open Sans" w:eastAsia="Open Sans" w:hAnsi="Open Sans" w:cs="Open Sans"/>
                <w:b/>
              </w:rPr>
            </w:pPr>
          </w:p>
          <w:p w:rsidR="00FA1CFC" w:rsidRDefault="00145A9D">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Math</w:t>
            </w:r>
          </w:p>
          <w:p w:rsidR="00FA1CFC" w:rsidRDefault="00145A9D">
            <w:pPr>
              <w:widowControl w:val="0"/>
              <w:spacing w:line="240" w:lineRule="auto"/>
              <w:rPr>
                <w:rFonts w:ascii="Open Sans" w:eastAsia="Open Sans" w:hAnsi="Open Sans" w:cs="Open Sans"/>
              </w:rPr>
            </w:pPr>
            <w:r>
              <w:rPr>
                <w:rFonts w:ascii="Open Sans" w:eastAsia="Open Sans" w:hAnsi="Open Sans" w:cs="Open Sans"/>
              </w:rPr>
              <w:t xml:space="preserve">All students, with a focus on Hispanic FARMs, will meet or show growth the established benchmarks on Progress Checks, </w:t>
            </w:r>
            <w:proofErr w:type="spellStart"/>
            <w:r>
              <w:rPr>
                <w:rFonts w:ascii="Open Sans" w:eastAsia="Open Sans" w:hAnsi="Open Sans" w:cs="Open Sans"/>
              </w:rPr>
              <w:t>Subclaim</w:t>
            </w:r>
            <w:proofErr w:type="spellEnd"/>
            <w:r>
              <w:rPr>
                <w:rFonts w:ascii="Open Sans" w:eastAsia="Open Sans" w:hAnsi="Open Sans" w:cs="Open Sans"/>
              </w:rPr>
              <w:t xml:space="preserve"> 2: Mathematical Reasoning of MCAP, and benchmarks of MAP-M (specificall</w:t>
            </w:r>
            <w:r>
              <w:rPr>
                <w:rFonts w:ascii="Open Sans" w:eastAsia="Open Sans" w:hAnsi="Open Sans" w:cs="Open Sans"/>
              </w:rPr>
              <w:t>y sub-strand of Operations and Algebraic Thinking).</w:t>
            </w:r>
          </w:p>
        </w:tc>
      </w:tr>
    </w:tbl>
    <w:p w:rsidR="00FA1CFC" w:rsidRDefault="00FA1CFC">
      <w:pPr>
        <w:rPr>
          <w:b/>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10515"/>
      </w:tblGrid>
      <w:tr w:rsidR="00FA1CFC">
        <w:tc>
          <w:tcPr>
            <w:tcW w:w="3885" w:type="dxa"/>
            <w:shd w:val="clear" w:color="auto" w:fill="auto"/>
            <w:tcMar>
              <w:top w:w="100" w:type="dxa"/>
              <w:left w:w="100" w:type="dxa"/>
              <w:bottom w:w="100" w:type="dxa"/>
              <w:right w:w="100" w:type="dxa"/>
            </w:tcMar>
          </w:tcPr>
          <w:p w:rsidR="00FA1CFC" w:rsidRDefault="00FA1CFC">
            <w:pPr>
              <w:widowControl w:val="0"/>
              <w:spacing w:line="240" w:lineRule="auto"/>
              <w:rPr>
                <w:b/>
              </w:rPr>
            </w:pPr>
          </w:p>
        </w:tc>
        <w:tc>
          <w:tcPr>
            <w:tcW w:w="10515" w:type="dxa"/>
            <w:shd w:val="clear" w:color="auto" w:fill="FFF2CC"/>
            <w:tcMar>
              <w:top w:w="100" w:type="dxa"/>
              <w:left w:w="100" w:type="dxa"/>
              <w:bottom w:w="100" w:type="dxa"/>
              <w:right w:w="100" w:type="dxa"/>
            </w:tcMar>
          </w:tcPr>
          <w:p w:rsidR="00FA1CFC" w:rsidRDefault="00145A9D">
            <w:pPr>
              <w:widowControl w:val="0"/>
              <w:spacing w:line="240" w:lineRule="auto"/>
              <w:jc w:val="center"/>
              <w:rPr>
                <w:b/>
              </w:rPr>
            </w:pPr>
            <w:r>
              <w:rPr>
                <w:rFonts w:ascii="Open Sans" w:eastAsia="Open Sans" w:hAnsi="Open Sans" w:cs="Open Sans"/>
                <w:b/>
              </w:rPr>
              <w:t>What will the focus of your work be?</w:t>
            </w:r>
          </w:p>
        </w:tc>
      </w:tr>
      <w:tr w:rsidR="00FA1CFC">
        <w:tc>
          <w:tcPr>
            <w:tcW w:w="3885" w:type="dxa"/>
            <w:shd w:val="clear" w:color="auto" w:fill="auto"/>
            <w:tcMar>
              <w:top w:w="100" w:type="dxa"/>
              <w:left w:w="100" w:type="dxa"/>
              <w:bottom w:w="100" w:type="dxa"/>
              <w:right w:w="100" w:type="dxa"/>
            </w:tcMar>
          </w:tcPr>
          <w:p w:rsidR="00FA1CFC" w:rsidRDefault="00145A9D">
            <w:pPr>
              <w:widowControl w:val="0"/>
              <w:spacing w:line="240" w:lineRule="auto"/>
              <w:rPr>
                <w:b/>
              </w:rPr>
            </w:pPr>
            <w:r>
              <w:rPr>
                <w:rFonts w:ascii="Open Sans" w:eastAsia="Open Sans" w:hAnsi="Open Sans" w:cs="Open Sans"/>
                <w:b/>
                <w:sz w:val="20"/>
                <w:szCs w:val="20"/>
              </w:rPr>
              <w:t>Professional Learning on the Standards</w:t>
            </w:r>
          </w:p>
        </w:tc>
        <w:tc>
          <w:tcPr>
            <w:tcW w:w="10515" w:type="dxa"/>
            <w:tcMar>
              <w:top w:w="100" w:type="dxa"/>
              <w:left w:w="100" w:type="dxa"/>
              <w:bottom w:w="100" w:type="dxa"/>
              <w:right w:w="100" w:type="dxa"/>
            </w:tcMar>
          </w:tcPr>
          <w:p w:rsidR="00FA1CFC" w:rsidRDefault="00145A9D">
            <w:pPr>
              <w:widowControl w:val="0"/>
              <w:spacing w:line="240" w:lineRule="auto"/>
              <w:jc w:val="center"/>
              <w:rPr>
                <w:rFonts w:ascii="Open Sans" w:eastAsia="Open Sans" w:hAnsi="Open Sans" w:cs="Open Sans"/>
                <w:i/>
                <w:sz w:val="20"/>
                <w:szCs w:val="20"/>
              </w:rPr>
            </w:pPr>
            <w:r>
              <w:rPr>
                <w:rFonts w:ascii="Open Sans" w:eastAsia="Open Sans" w:hAnsi="Open Sans" w:cs="Open Sans"/>
                <w:i/>
                <w:sz w:val="20"/>
                <w:szCs w:val="20"/>
              </w:rPr>
              <w:t>What learning do teachers/teams need in order to unpack, teach, and assess student attainment of the standards?</w:t>
            </w:r>
          </w:p>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Professional learning will focus on staff monitoring their data in their classroom to ensure that they </w:t>
            </w:r>
            <w:r>
              <w:rPr>
                <w:rFonts w:ascii="Open Sans" w:eastAsia="Open Sans" w:hAnsi="Open Sans" w:cs="Open Sans"/>
                <w:b/>
                <w:sz w:val="20"/>
                <w:szCs w:val="20"/>
              </w:rPr>
              <w:lastRenderedPageBreak/>
              <w:t xml:space="preserve">reflect critical thinking opportunities and/or helping teachers create assignments/assessments that can measure critical thinking opportunities and that </w:t>
            </w:r>
            <w:r>
              <w:rPr>
                <w:rFonts w:ascii="Open Sans" w:eastAsia="Open Sans" w:hAnsi="Open Sans" w:cs="Open Sans"/>
                <w:b/>
                <w:sz w:val="20"/>
                <w:szCs w:val="20"/>
              </w:rPr>
              <w:t xml:space="preserve">can be measured in Gradebook. </w:t>
            </w:r>
          </w:p>
          <w:p w:rsidR="00FA1CFC" w:rsidRDefault="00FA1CFC">
            <w:pPr>
              <w:widowControl w:val="0"/>
              <w:spacing w:line="240" w:lineRule="auto"/>
              <w:rPr>
                <w:rFonts w:ascii="Open Sans" w:eastAsia="Open Sans" w:hAnsi="Open Sans" w:cs="Open Sans"/>
                <w:b/>
                <w:sz w:val="20"/>
                <w:szCs w:val="20"/>
              </w:rPr>
            </w:pPr>
          </w:p>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Professional learning will also</w:t>
            </w:r>
            <w:bookmarkStart w:id="2" w:name="_GoBack"/>
            <w:bookmarkEnd w:id="2"/>
            <w:r>
              <w:rPr>
                <w:rFonts w:ascii="Open Sans" w:eastAsia="Open Sans" w:hAnsi="Open Sans" w:cs="Open Sans"/>
                <w:b/>
                <w:sz w:val="20"/>
                <w:szCs w:val="20"/>
              </w:rPr>
              <w:t xml:space="preserve"> include supporting staff in helping their students in writing an argument/claim and being able to construct responses that analyze and defend their argument/claim. Furthermore, we want to hel</w:t>
            </w:r>
            <w:r>
              <w:rPr>
                <w:rFonts w:ascii="Open Sans" w:eastAsia="Open Sans" w:hAnsi="Open Sans" w:cs="Open Sans"/>
                <w:b/>
                <w:sz w:val="20"/>
                <w:szCs w:val="20"/>
              </w:rPr>
              <w:t xml:space="preserve">p our teachers “make thinking visible” within their classroom. This professional learning will also align with our informal observations and Student Learning Objectives. </w:t>
            </w:r>
          </w:p>
          <w:p w:rsidR="00FA1CFC" w:rsidRDefault="00FA1CFC">
            <w:pPr>
              <w:widowControl w:val="0"/>
              <w:spacing w:line="240" w:lineRule="auto"/>
              <w:rPr>
                <w:rFonts w:ascii="Open Sans" w:eastAsia="Open Sans" w:hAnsi="Open Sans" w:cs="Open Sans"/>
                <w:b/>
                <w:sz w:val="20"/>
                <w:szCs w:val="20"/>
              </w:rPr>
            </w:pPr>
          </w:p>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This would also support the needs in Math as well for students to be able to justify</w:t>
            </w:r>
            <w:r>
              <w:rPr>
                <w:rFonts w:ascii="Open Sans" w:eastAsia="Open Sans" w:hAnsi="Open Sans" w:cs="Open Sans"/>
                <w:b/>
                <w:sz w:val="20"/>
                <w:szCs w:val="20"/>
              </w:rPr>
              <w:t>/defend their answers either by showing their work/thinking or by writing a response that demonstrates their understanding.</w:t>
            </w:r>
          </w:p>
          <w:p w:rsidR="00FA1CFC" w:rsidRDefault="00FA1CFC">
            <w:pPr>
              <w:widowControl w:val="0"/>
              <w:spacing w:line="240" w:lineRule="auto"/>
              <w:rPr>
                <w:rFonts w:ascii="Open Sans" w:eastAsia="Open Sans" w:hAnsi="Open Sans" w:cs="Open Sans"/>
                <w:b/>
                <w:sz w:val="20"/>
                <w:szCs w:val="20"/>
              </w:rPr>
            </w:pPr>
          </w:p>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This could also lead to a need for teachers intentionally planning and implementing checking for understanding strategies to monito</w:t>
            </w:r>
            <w:r>
              <w:rPr>
                <w:rFonts w:ascii="Open Sans" w:eastAsia="Open Sans" w:hAnsi="Open Sans" w:cs="Open Sans"/>
                <w:b/>
                <w:sz w:val="20"/>
                <w:szCs w:val="20"/>
              </w:rPr>
              <w:t>r their progress.</w:t>
            </w:r>
          </w:p>
        </w:tc>
      </w:tr>
      <w:tr w:rsidR="00FA1CFC">
        <w:tc>
          <w:tcPr>
            <w:tcW w:w="3885" w:type="dxa"/>
            <w:shd w:val="clear" w:color="auto" w:fill="auto"/>
            <w:tcMar>
              <w:top w:w="100" w:type="dxa"/>
              <w:left w:w="100" w:type="dxa"/>
              <w:bottom w:w="100" w:type="dxa"/>
              <w:right w:w="100" w:type="dxa"/>
            </w:tcMar>
          </w:tcPr>
          <w:p w:rsidR="00FA1CFC" w:rsidRDefault="00145A9D">
            <w:pPr>
              <w:widowControl w:val="0"/>
              <w:spacing w:line="240" w:lineRule="auto"/>
              <w:rPr>
                <w:b/>
              </w:rPr>
            </w:pPr>
            <w:r>
              <w:rPr>
                <w:rFonts w:ascii="Open Sans" w:eastAsia="Open Sans" w:hAnsi="Open Sans" w:cs="Open Sans"/>
                <w:b/>
                <w:sz w:val="20"/>
                <w:szCs w:val="20"/>
              </w:rPr>
              <w:lastRenderedPageBreak/>
              <w:t>Analyzing Data to Inform Instruction</w:t>
            </w:r>
          </w:p>
        </w:tc>
        <w:tc>
          <w:tcPr>
            <w:tcW w:w="10515" w:type="dxa"/>
            <w:tcMar>
              <w:top w:w="100" w:type="dxa"/>
              <w:left w:w="100" w:type="dxa"/>
              <w:bottom w:w="100" w:type="dxa"/>
              <w:right w:w="100" w:type="dxa"/>
            </w:tcMar>
          </w:tcPr>
          <w:p w:rsidR="00FA1CFC" w:rsidRDefault="00145A9D">
            <w:pPr>
              <w:widowControl w:val="0"/>
              <w:spacing w:line="240" w:lineRule="auto"/>
              <w:rPr>
                <w:rFonts w:ascii="Open Sans" w:eastAsia="Open Sans" w:hAnsi="Open Sans" w:cs="Open Sans"/>
                <w:i/>
                <w:sz w:val="20"/>
                <w:szCs w:val="20"/>
              </w:rPr>
            </w:pPr>
            <w:r>
              <w:rPr>
                <w:rFonts w:ascii="Open Sans" w:eastAsia="Open Sans" w:hAnsi="Open Sans" w:cs="Open Sans"/>
                <w:i/>
                <w:sz w:val="20"/>
                <w:szCs w:val="20"/>
              </w:rPr>
              <w:t>What is our school-wide learning around data? What are our grade level needs in terms of reviewing and analyzing data? What data will we analyze to make sure we are meeting these goals?</w:t>
            </w:r>
          </w:p>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Globally, the staff will monitor Common Writing Task data for English and Science/World Studies. Staff will also need to monitor student performance on MAP-R data, specifically in the sub-strand Literature and Informational Text. </w:t>
            </w:r>
          </w:p>
          <w:p w:rsidR="00FA1CFC" w:rsidRDefault="00FA1CFC">
            <w:pPr>
              <w:widowControl w:val="0"/>
              <w:spacing w:line="240" w:lineRule="auto"/>
              <w:rPr>
                <w:rFonts w:ascii="Open Sans" w:eastAsia="Open Sans" w:hAnsi="Open Sans" w:cs="Open Sans"/>
                <w:b/>
                <w:sz w:val="20"/>
                <w:szCs w:val="20"/>
              </w:rPr>
            </w:pPr>
          </w:p>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Along with this data, te</w:t>
            </w:r>
            <w:r>
              <w:rPr>
                <w:rFonts w:ascii="Open Sans" w:eastAsia="Open Sans" w:hAnsi="Open Sans" w:cs="Open Sans"/>
                <w:b/>
                <w:sz w:val="20"/>
                <w:szCs w:val="20"/>
              </w:rPr>
              <w:t>achers will implement checking for understanding opportunities for students that teachers and cohorts can monitor. Furthermore, as discussed in the Professional Learning, teachers will analyze their data points in Gradebook to ensure that students are give</w:t>
            </w:r>
            <w:r>
              <w:rPr>
                <w:rFonts w:ascii="Open Sans" w:eastAsia="Open Sans" w:hAnsi="Open Sans" w:cs="Open Sans"/>
                <w:b/>
                <w:sz w:val="20"/>
                <w:szCs w:val="20"/>
              </w:rPr>
              <w:t>n opportunities to think critically and write arguments. This is to ensure that grades in the Gradebook are not solely “quick checks”, but rather build on top of one another.</w:t>
            </w:r>
          </w:p>
        </w:tc>
      </w:tr>
      <w:tr w:rsidR="00FA1CFC">
        <w:tc>
          <w:tcPr>
            <w:tcW w:w="3885" w:type="dxa"/>
            <w:shd w:val="clear" w:color="auto" w:fill="auto"/>
            <w:tcMar>
              <w:top w:w="100" w:type="dxa"/>
              <w:left w:w="100" w:type="dxa"/>
              <w:bottom w:w="100" w:type="dxa"/>
              <w:right w:w="100" w:type="dxa"/>
            </w:tcMar>
          </w:tcPr>
          <w:p w:rsidR="00FA1CFC" w:rsidRDefault="00145A9D">
            <w:pPr>
              <w:widowControl w:val="0"/>
              <w:spacing w:line="240" w:lineRule="auto"/>
              <w:rPr>
                <w:b/>
              </w:rPr>
            </w:pPr>
            <w:r>
              <w:rPr>
                <w:rFonts w:ascii="Open Sans" w:eastAsia="Open Sans" w:hAnsi="Open Sans" w:cs="Open Sans"/>
                <w:b/>
                <w:sz w:val="20"/>
                <w:szCs w:val="20"/>
              </w:rPr>
              <w:t>Equitable and Culturally Responsive Instructional Strategies</w:t>
            </w:r>
          </w:p>
        </w:tc>
        <w:tc>
          <w:tcPr>
            <w:tcW w:w="10515" w:type="dxa"/>
            <w:tcMar>
              <w:top w:w="100" w:type="dxa"/>
              <w:left w:w="100" w:type="dxa"/>
              <w:bottom w:w="100" w:type="dxa"/>
              <w:right w:w="100" w:type="dxa"/>
            </w:tcMar>
          </w:tcPr>
          <w:p w:rsidR="00FA1CFC" w:rsidRDefault="00145A9D">
            <w:pPr>
              <w:widowControl w:val="0"/>
              <w:spacing w:line="240" w:lineRule="auto"/>
              <w:jc w:val="center"/>
              <w:rPr>
                <w:rFonts w:ascii="Open Sans" w:eastAsia="Open Sans" w:hAnsi="Open Sans" w:cs="Open Sans"/>
                <w:i/>
                <w:sz w:val="20"/>
                <w:szCs w:val="20"/>
              </w:rPr>
            </w:pPr>
            <w:r>
              <w:rPr>
                <w:rFonts w:ascii="Open Sans" w:eastAsia="Open Sans" w:hAnsi="Open Sans" w:cs="Open Sans"/>
                <w:i/>
                <w:sz w:val="20"/>
                <w:szCs w:val="20"/>
              </w:rPr>
              <w:t>School-Wide: What k</w:t>
            </w:r>
            <w:r>
              <w:rPr>
                <w:rFonts w:ascii="Open Sans" w:eastAsia="Open Sans" w:hAnsi="Open Sans" w:cs="Open Sans"/>
                <w:i/>
                <w:sz w:val="20"/>
                <w:szCs w:val="20"/>
              </w:rPr>
              <w:t>nowledge, skills and disposition do staff need to meet the needs of the focus students?</w:t>
            </w:r>
          </w:p>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As part of our professional learning and staff focus for the 2019-2020 school year, each teacher and department will develop their “Why” statement. This statement inclu</w:t>
            </w:r>
            <w:r>
              <w:rPr>
                <w:rFonts w:ascii="Open Sans" w:eastAsia="Open Sans" w:hAnsi="Open Sans" w:cs="Open Sans"/>
                <w:b/>
                <w:sz w:val="20"/>
                <w:szCs w:val="20"/>
              </w:rPr>
              <w:t xml:space="preserve">des why teachers got into the field of education and what they hope to accomplish with their students. This will then lead to a school wide “Why” statement to add onto the Parkland vision statement of “every student, whatever it takes.” </w:t>
            </w:r>
          </w:p>
          <w:p w:rsidR="00FA1CFC" w:rsidRDefault="00FA1CFC">
            <w:pPr>
              <w:widowControl w:val="0"/>
              <w:spacing w:line="240" w:lineRule="auto"/>
              <w:rPr>
                <w:rFonts w:ascii="Open Sans" w:eastAsia="Open Sans" w:hAnsi="Open Sans" w:cs="Open Sans"/>
                <w:b/>
                <w:sz w:val="20"/>
                <w:szCs w:val="20"/>
              </w:rPr>
            </w:pPr>
          </w:p>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The “Why” stateme</w:t>
            </w:r>
            <w:r>
              <w:rPr>
                <w:rFonts w:ascii="Open Sans" w:eastAsia="Open Sans" w:hAnsi="Open Sans" w:cs="Open Sans"/>
                <w:b/>
                <w:sz w:val="20"/>
                <w:szCs w:val="20"/>
              </w:rPr>
              <w:t xml:space="preserve">nts will ask teachers to explore their various levels of culture, experiences, and </w:t>
            </w:r>
            <w:r>
              <w:rPr>
                <w:rFonts w:ascii="Open Sans" w:eastAsia="Open Sans" w:hAnsi="Open Sans" w:cs="Open Sans"/>
                <w:b/>
                <w:sz w:val="20"/>
                <w:szCs w:val="20"/>
              </w:rPr>
              <w:lastRenderedPageBreak/>
              <w:t>backgrounds which will help them connect and empathize with students.</w:t>
            </w:r>
          </w:p>
          <w:p w:rsidR="00FA1CFC" w:rsidRDefault="00FA1CFC">
            <w:pPr>
              <w:widowControl w:val="0"/>
              <w:spacing w:line="240" w:lineRule="auto"/>
              <w:rPr>
                <w:rFonts w:ascii="Open Sans" w:eastAsia="Open Sans" w:hAnsi="Open Sans" w:cs="Open Sans"/>
                <w:b/>
                <w:sz w:val="20"/>
                <w:szCs w:val="20"/>
              </w:rPr>
            </w:pPr>
          </w:p>
          <w:p w:rsidR="00FA1CFC" w:rsidRDefault="00145A9D">
            <w:pPr>
              <w:widowControl w:val="0"/>
              <w:spacing w:line="240" w:lineRule="auto"/>
              <w:jc w:val="center"/>
              <w:rPr>
                <w:rFonts w:ascii="Open Sans" w:eastAsia="Open Sans" w:hAnsi="Open Sans" w:cs="Open Sans"/>
                <w:i/>
                <w:sz w:val="20"/>
                <w:szCs w:val="20"/>
              </w:rPr>
            </w:pPr>
            <w:r>
              <w:rPr>
                <w:rFonts w:ascii="Open Sans" w:eastAsia="Open Sans" w:hAnsi="Open Sans" w:cs="Open Sans"/>
                <w:i/>
                <w:sz w:val="20"/>
                <w:szCs w:val="20"/>
              </w:rPr>
              <w:t>Classroom: How do these align to the needs of the focus students?</w:t>
            </w:r>
          </w:p>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To continue, it is evident that Hisp</w:t>
            </w:r>
            <w:r>
              <w:rPr>
                <w:rFonts w:ascii="Open Sans" w:eastAsia="Open Sans" w:hAnsi="Open Sans" w:cs="Open Sans"/>
                <w:b/>
                <w:sz w:val="20"/>
                <w:szCs w:val="20"/>
              </w:rPr>
              <w:t>anic FARMs students are the main priority of the focus students according to our Exhibit C.</w:t>
            </w:r>
          </w:p>
          <w:p w:rsidR="00FA1CFC" w:rsidRDefault="00FA1CFC">
            <w:pPr>
              <w:widowControl w:val="0"/>
              <w:spacing w:line="240" w:lineRule="auto"/>
              <w:rPr>
                <w:rFonts w:ascii="Open Sans" w:eastAsia="Open Sans" w:hAnsi="Open Sans" w:cs="Open Sans"/>
                <w:b/>
                <w:sz w:val="20"/>
                <w:szCs w:val="20"/>
              </w:rPr>
            </w:pPr>
          </w:p>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As a result, our “Why” statements will also help lead the way in exploring professional learning on students in poverty (e.g. Teaching with Poverty in Mind”) and e</w:t>
            </w:r>
            <w:r>
              <w:rPr>
                <w:rFonts w:ascii="Open Sans" w:eastAsia="Open Sans" w:hAnsi="Open Sans" w:cs="Open Sans"/>
                <w:b/>
                <w:sz w:val="20"/>
                <w:szCs w:val="20"/>
              </w:rPr>
              <w:t>xploring the intersectionality of poverty and race.</w:t>
            </w:r>
          </w:p>
        </w:tc>
      </w:tr>
      <w:tr w:rsidR="00FA1CFC">
        <w:tc>
          <w:tcPr>
            <w:tcW w:w="3885" w:type="dxa"/>
            <w:shd w:val="clear" w:color="auto" w:fill="auto"/>
            <w:tcMar>
              <w:top w:w="100" w:type="dxa"/>
              <w:left w:w="100" w:type="dxa"/>
              <w:bottom w:w="100" w:type="dxa"/>
              <w:right w:w="100" w:type="dxa"/>
            </w:tcMar>
          </w:tcPr>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lastRenderedPageBreak/>
              <w:t>School Climate and Culture</w:t>
            </w:r>
          </w:p>
        </w:tc>
        <w:tc>
          <w:tcPr>
            <w:tcW w:w="10515" w:type="dxa"/>
            <w:tcMar>
              <w:top w:w="100" w:type="dxa"/>
              <w:left w:w="100" w:type="dxa"/>
              <w:bottom w:w="100" w:type="dxa"/>
              <w:right w:w="100" w:type="dxa"/>
            </w:tcMar>
          </w:tcPr>
          <w:p w:rsidR="00FA1CFC" w:rsidRDefault="00145A9D">
            <w:pPr>
              <w:widowControl w:val="0"/>
              <w:spacing w:line="240" w:lineRule="auto"/>
              <w:jc w:val="center"/>
              <w:rPr>
                <w:rFonts w:ascii="Open Sans" w:eastAsia="Open Sans" w:hAnsi="Open Sans" w:cs="Open Sans"/>
                <w:i/>
                <w:sz w:val="20"/>
                <w:szCs w:val="20"/>
              </w:rPr>
            </w:pPr>
            <w:r>
              <w:rPr>
                <w:rFonts w:ascii="Open Sans" w:eastAsia="Open Sans" w:hAnsi="Open Sans" w:cs="Open Sans"/>
                <w:i/>
                <w:sz w:val="20"/>
                <w:szCs w:val="20"/>
              </w:rPr>
              <w:t>School-Wide:  What knowledge, skills, curriculum, or programs do staff need to address the well-being of students and families?</w:t>
            </w:r>
          </w:p>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See above for the “Why” statements.</w:t>
            </w:r>
          </w:p>
          <w:p w:rsidR="00FA1CFC" w:rsidRDefault="00FA1CFC">
            <w:pPr>
              <w:widowControl w:val="0"/>
              <w:spacing w:line="240" w:lineRule="auto"/>
              <w:rPr>
                <w:rFonts w:ascii="Open Sans" w:eastAsia="Open Sans" w:hAnsi="Open Sans" w:cs="Open Sans"/>
                <w:b/>
                <w:sz w:val="20"/>
                <w:szCs w:val="20"/>
              </w:rPr>
            </w:pPr>
          </w:p>
          <w:p w:rsidR="00FA1CFC" w:rsidRDefault="00145A9D">
            <w:pPr>
              <w:widowControl w:val="0"/>
              <w:spacing w:line="240" w:lineRule="auto"/>
              <w:jc w:val="center"/>
              <w:rPr>
                <w:rFonts w:ascii="Open Sans" w:eastAsia="Open Sans" w:hAnsi="Open Sans" w:cs="Open Sans"/>
                <w:i/>
                <w:sz w:val="20"/>
                <w:szCs w:val="20"/>
              </w:rPr>
            </w:pPr>
            <w:r>
              <w:rPr>
                <w:rFonts w:ascii="Open Sans" w:eastAsia="Open Sans" w:hAnsi="Open Sans" w:cs="Open Sans"/>
                <w:i/>
                <w:sz w:val="20"/>
                <w:szCs w:val="20"/>
              </w:rPr>
              <w:t xml:space="preserve">What are the strengths and areas of focus based on the employee climate survey?  What leadership or strategies will be deployed to build on the strengths and address the areas of focus? </w:t>
            </w:r>
          </w:p>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Strengths:</w:t>
            </w:r>
          </w:p>
          <w:p w:rsidR="00FA1CFC" w:rsidRDefault="00145A9D">
            <w:pPr>
              <w:widowControl w:val="0"/>
              <w:numPr>
                <w:ilvl w:val="0"/>
                <w:numId w:val="3"/>
              </w:numPr>
              <w:spacing w:line="240" w:lineRule="auto"/>
              <w:rPr>
                <w:rFonts w:ascii="Open Sans" w:eastAsia="Open Sans" w:hAnsi="Open Sans" w:cs="Open Sans"/>
                <w:b/>
                <w:sz w:val="20"/>
                <w:szCs w:val="20"/>
              </w:rPr>
            </w:pPr>
            <w:r>
              <w:rPr>
                <w:rFonts w:ascii="Open Sans" w:eastAsia="Open Sans" w:hAnsi="Open Sans" w:cs="Open Sans"/>
                <w:b/>
                <w:sz w:val="20"/>
                <w:szCs w:val="20"/>
              </w:rPr>
              <w:t>Opportunities for professional growth</w:t>
            </w:r>
          </w:p>
          <w:p w:rsidR="00FA1CFC" w:rsidRDefault="00145A9D">
            <w:pPr>
              <w:widowControl w:val="0"/>
              <w:numPr>
                <w:ilvl w:val="0"/>
                <w:numId w:val="3"/>
              </w:numPr>
              <w:spacing w:line="240" w:lineRule="auto"/>
              <w:rPr>
                <w:rFonts w:ascii="Open Sans" w:eastAsia="Open Sans" w:hAnsi="Open Sans" w:cs="Open Sans"/>
                <w:b/>
                <w:sz w:val="20"/>
                <w:szCs w:val="20"/>
              </w:rPr>
            </w:pPr>
            <w:r>
              <w:rPr>
                <w:rFonts w:ascii="Open Sans" w:eastAsia="Open Sans" w:hAnsi="Open Sans" w:cs="Open Sans"/>
                <w:b/>
                <w:sz w:val="20"/>
                <w:szCs w:val="20"/>
              </w:rPr>
              <w:t>A culture of respect</w:t>
            </w:r>
            <w:r>
              <w:rPr>
                <w:rFonts w:ascii="Open Sans" w:eastAsia="Open Sans" w:hAnsi="Open Sans" w:cs="Open Sans"/>
                <w:b/>
                <w:sz w:val="20"/>
                <w:szCs w:val="20"/>
              </w:rPr>
              <w:t xml:space="preserve"> for students</w:t>
            </w:r>
          </w:p>
          <w:p w:rsidR="00FA1CFC" w:rsidRDefault="00145A9D">
            <w:pPr>
              <w:widowControl w:val="0"/>
              <w:numPr>
                <w:ilvl w:val="0"/>
                <w:numId w:val="3"/>
              </w:numPr>
              <w:spacing w:line="240" w:lineRule="auto"/>
              <w:rPr>
                <w:rFonts w:ascii="Open Sans" w:eastAsia="Open Sans" w:hAnsi="Open Sans" w:cs="Open Sans"/>
                <w:b/>
                <w:sz w:val="20"/>
                <w:szCs w:val="20"/>
              </w:rPr>
            </w:pPr>
            <w:r>
              <w:rPr>
                <w:rFonts w:ascii="Open Sans" w:eastAsia="Open Sans" w:hAnsi="Open Sans" w:cs="Open Sans"/>
                <w:b/>
                <w:sz w:val="20"/>
                <w:szCs w:val="20"/>
              </w:rPr>
              <w:t>Clear expectations for staff</w:t>
            </w:r>
          </w:p>
          <w:p w:rsidR="00FA1CFC" w:rsidRDefault="00FA1CFC">
            <w:pPr>
              <w:widowControl w:val="0"/>
              <w:spacing w:line="240" w:lineRule="auto"/>
              <w:rPr>
                <w:rFonts w:ascii="Open Sans" w:eastAsia="Open Sans" w:hAnsi="Open Sans" w:cs="Open Sans"/>
                <w:b/>
                <w:sz w:val="20"/>
                <w:szCs w:val="20"/>
              </w:rPr>
            </w:pPr>
          </w:p>
          <w:p w:rsidR="00FA1CFC" w:rsidRDefault="00145A9D">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Areas of Focus</w:t>
            </w:r>
          </w:p>
          <w:p w:rsidR="00FA1CFC" w:rsidRDefault="00145A9D">
            <w:pPr>
              <w:widowControl w:val="0"/>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Staff morale/recognition</w:t>
            </w:r>
          </w:p>
          <w:p w:rsidR="00FA1CFC" w:rsidRDefault="00145A9D">
            <w:pPr>
              <w:widowControl w:val="0"/>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Having necessary resources to complete job</w:t>
            </w:r>
          </w:p>
          <w:p w:rsidR="00FA1CFC" w:rsidRDefault="00145A9D">
            <w:pPr>
              <w:widowControl w:val="0"/>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Open communication</w:t>
            </w:r>
            <w:r>
              <w:rPr>
                <w:rFonts w:ascii="Open Sans" w:eastAsia="Open Sans" w:hAnsi="Open Sans" w:cs="Open Sans"/>
                <w:b/>
                <w:sz w:val="20"/>
                <w:szCs w:val="20"/>
              </w:rPr>
              <w:br/>
            </w:r>
          </w:p>
          <w:p w:rsidR="00FA1CFC" w:rsidRDefault="00145A9D">
            <w:pPr>
              <w:widowControl w:val="0"/>
              <w:spacing w:line="240" w:lineRule="auto"/>
              <w:jc w:val="center"/>
              <w:rPr>
                <w:rFonts w:ascii="Open Sans" w:eastAsia="Open Sans" w:hAnsi="Open Sans" w:cs="Open Sans"/>
                <w:sz w:val="20"/>
                <w:szCs w:val="20"/>
              </w:rPr>
            </w:pPr>
            <w:r>
              <w:rPr>
                <w:rFonts w:ascii="Open Sans" w:eastAsia="Open Sans" w:hAnsi="Open Sans" w:cs="Open Sans"/>
                <w:i/>
                <w:sz w:val="20"/>
                <w:szCs w:val="20"/>
              </w:rPr>
              <w:t>Based on existing climate data, what current programs or curriculum align to the six essentials:  culturally-responsive relationship-building, mental and emotional health, character development and empathy, restorative justice and restorative practices, ph</w:t>
            </w:r>
            <w:r>
              <w:rPr>
                <w:rFonts w:ascii="Open Sans" w:eastAsia="Open Sans" w:hAnsi="Open Sans" w:cs="Open Sans"/>
                <w:i/>
                <w:sz w:val="20"/>
                <w:szCs w:val="20"/>
              </w:rPr>
              <w:t>ysical health and wellness, and trauma-informed practices</w:t>
            </w:r>
            <w:r>
              <w:rPr>
                <w:rFonts w:ascii="Open Sans" w:eastAsia="Open Sans" w:hAnsi="Open Sans" w:cs="Open Sans"/>
                <w:sz w:val="20"/>
                <w:szCs w:val="20"/>
              </w:rPr>
              <w:t>?</w:t>
            </w:r>
          </w:p>
          <w:p w:rsidR="00FA1CFC" w:rsidRDefault="00145A9D">
            <w:pPr>
              <w:widowControl w:val="0"/>
              <w:numPr>
                <w:ilvl w:val="0"/>
                <w:numId w:val="1"/>
              </w:numPr>
              <w:spacing w:line="240" w:lineRule="auto"/>
              <w:ind w:left="360"/>
              <w:rPr>
                <w:rFonts w:ascii="Open Sans" w:eastAsia="Open Sans" w:hAnsi="Open Sans" w:cs="Open Sans"/>
                <w:b/>
                <w:sz w:val="20"/>
                <w:szCs w:val="20"/>
              </w:rPr>
            </w:pPr>
            <w:r>
              <w:rPr>
                <w:rFonts w:ascii="Open Sans" w:eastAsia="Open Sans" w:hAnsi="Open Sans" w:cs="Open Sans"/>
                <w:b/>
                <w:sz w:val="20"/>
                <w:szCs w:val="20"/>
              </w:rPr>
              <w:t>Creating clear protocols and communication throughout the school year with staff through staff meetings, staff surveys, and work groups/committees.</w:t>
            </w:r>
          </w:p>
          <w:p w:rsidR="00FA1CFC" w:rsidRDefault="00145A9D">
            <w:pPr>
              <w:widowControl w:val="0"/>
              <w:numPr>
                <w:ilvl w:val="0"/>
                <w:numId w:val="1"/>
              </w:numPr>
              <w:spacing w:line="240" w:lineRule="auto"/>
              <w:ind w:left="360"/>
              <w:rPr>
                <w:rFonts w:ascii="Open Sans" w:eastAsia="Open Sans" w:hAnsi="Open Sans" w:cs="Open Sans"/>
                <w:b/>
                <w:sz w:val="20"/>
                <w:szCs w:val="20"/>
              </w:rPr>
            </w:pPr>
            <w:r>
              <w:rPr>
                <w:rFonts w:ascii="Open Sans" w:eastAsia="Open Sans" w:hAnsi="Open Sans" w:cs="Open Sans"/>
                <w:b/>
                <w:sz w:val="20"/>
                <w:szCs w:val="20"/>
              </w:rPr>
              <w:t>Instructionally Related Programs</w:t>
            </w:r>
          </w:p>
          <w:p w:rsidR="00FA1CFC" w:rsidRDefault="00145A9D">
            <w:pPr>
              <w:widowControl w:val="0"/>
              <w:numPr>
                <w:ilvl w:val="0"/>
                <w:numId w:val="4"/>
              </w:numPr>
              <w:spacing w:line="240" w:lineRule="auto"/>
              <w:ind w:left="1080"/>
              <w:rPr>
                <w:rFonts w:ascii="Open Sans" w:eastAsia="Open Sans" w:hAnsi="Open Sans" w:cs="Open Sans"/>
                <w:b/>
                <w:sz w:val="20"/>
                <w:szCs w:val="20"/>
              </w:rPr>
            </w:pPr>
            <w:r>
              <w:rPr>
                <w:rFonts w:ascii="Open Sans" w:eastAsia="Open Sans" w:hAnsi="Open Sans" w:cs="Open Sans"/>
                <w:b/>
                <w:sz w:val="20"/>
                <w:szCs w:val="20"/>
              </w:rPr>
              <w:t>Student Recognition &amp; Awards</w:t>
            </w:r>
          </w:p>
          <w:p w:rsidR="00FA1CFC" w:rsidRDefault="00145A9D">
            <w:pPr>
              <w:widowControl w:val="0"/>
              <w:numPr>
                <w:ilvl w:val="0"/>
                <w:numId w:val="4"/>
              </w:numPr>
              <w:spacing w:line="240" w:lineRule="auto"/>
              <w:ind w:left="1080"/>
              <w:rPr>
                <w:rFonts w:ascii="Open Sans" w:eastAsia="Open Sans" w:hAnsi="Open Sans" w:cs="Open Sans"/>
                <w:b/>
                <w:sz w:val="20"/>
                <w:szCs w:val="20"/>
              </w:rPr>
            </w:pPr>
            <w:r>
              <w:rPr>
                <w:rFonts w:ascii="Open Sans" w:eastAsia="Open Sans" w:hAnsi="Open Sans" w:cs="Open Sans"/>
                <w:b/>
                <w:sz w:val="20"/>
                <w:szCs w:val="20"/>
              </w:rPr>
              <w:t xml:space="preserve">School Pride </w:t>
            </w:r>
          </w:p>
          <w:p w:rsidR="00FA1CFC" w:rsidRDefault="00145A9D">
            <w:pPr>
              <w:widowControl w:val="0"/>
              <w:numPr>
                <w:ilvl w:val="0"/>
                <w:numId w:val="4"/>
              </w:numPr>
              <w:spacing w:line="240" w:lineRule="auto"/>
              <w:ind w:left="1080"/>
              <w:rPr>
                <w:rFonts w:ascii="Open Sans" w:eastAsia="Open Sans" w:hAnsi="Open Sans" w:cs="Open Sans"/>
                <w:b/>
                <w:sz w:val="20"/>
                <w:szCs w:val="20"/>
              </w:rPr>
            </w:pPr>
            <w:r>
              <w:rPr>
                <w:rFonts w:ascii="Open Sans" w:eastAsia="Open Sans" w:hAnsi="Open Sans" w:cs="Open Sans"/>
                <w:b/>
                <w:sz w:val="20"/>
                <w:szCs w:val="20"/>
              </w:rPr>
              <w:t>STEAM Group</w:t>
            </w:r>
          </w:p>
          <w:p w:rsidR="00FA1CFC" w:rsidRDefault="00145A9D">
            <w:pPr>
              <w:widowControl w:val="0"/>
              <w:numPr>
                <w:ilvl w:val="0"/>
                <w:numId w:val="4"/>
              </w:numPr>
              <w:spacing w:line="240" w:lineRule="auto"/>
              <w:ind w:left="1080"/>
              <w:rPr>
                <w:rFonts w:ascii="Open Sans" w:eastAsia="Open Sans" w:hAnsi="Open Sans" w:cs="Open Sans"/>
                <w:b/>
                <w:sz w:val="20"/>
                <w:szCs w:val="20"/>
              </w:rPr>
            </w:pPr>
            <w:r>
              <w:rPr>
                <w:rFonts w:ascii="Open Sans" w:eastAsia="Open Sans" w:hAnsi="Open Sans" w:cs="Open Sans"/>
                <w:b/>
                <w:sz w:val="20"/>
                <w:szCs w:val="20"/>
              </w:rPr>
              <w:lastRenderedPageBreak/>
              <w:t>SERT (School Energy &amp; Recycling Team)</w:t>
            </w:r>
          </w:p>
          <w:p w:rsidR="00FA1CFC" w:rsidRDefault="00145A9D">
            <w:pPr>
              <w:widowControl w:val="0"/>
              <w:numPr>
                <w:ilvl w:val="0"/>
                <w:numId w:val="4"/>
              </w:numPr>
              <w:spacing w:line="240" w:lineRule="auto"/>
              <w:ind w:left="1080"/>
              <w:rPr>
                <w:rFonts w:ascii="Open Sans" w:eastAsia="Open Sans" w:hAnsi="Open Sans" w:cs="Open Sans"/>
                <w:b/>
                <w:sz w:val="20"/>
                <w:szCs w:val="20"/>
              </w:rPr>
            </w:pPr>
            <w:r>
              <w:rPr>
                <w:rFonts w:ascii="Open Sans" w:eastAsia="Open Sans" w:hAnsi="Open Sans" w:cs="Open Sans"/>
                <w:b/>
                <w:sz w:val="20"/>
                <w:szCs w:val="20"/>
              </w:rPr>
              <w:t>No Place for Hate (Diversity IRP)</w:t>
            </w:r>
          </w:p>
          <w:p w:rsidR="00FA1CFC" w:rsidRDefault="00145A9D">
            <w:pPr>
              <w:widowControl w:val="0"/>
              <w:numPr>
                <w:ilvl w:val="0"/>
                <w:numId w:val="4"/>
              </w:numPr>
              <w:spacing w:line="240" w:lineRule="auto"/>
              <w:ind w:left="1080"/>
              <w:rPr>
                <w:rFonts w:ascii="Open Sans" w:eastAsia="Open Sans" w:hAnsi="Open Sans" w:cs="Open Sans"/>
                <w:b/>
                <w:sz w:val="20"/>
                <w:szCs w:val="20"/>
              </w:rPr>
            </w:pPr>
            <w:r>
              <w:rPr>
                <w:rFonts w:ascii="Open Sans" w:eastAsia="Open Sans" w:hAnsi="Open Sans" w:cs="Open Sans"/>
                <w:b/>
                <w:sz w:val="20"/>
                <w:szCs w:val="20"/>
              </w:rPr>
              <w:t>Technology Troop</w:t>
            </w:r>
          </w:p>
          <w:p w:rsidR="00FA1CFC" w:rsidRDefault="00145A9D">
            <w:pPr>
              <w:widowControl w:val="0"/>
              <w:numPr>
                <w:ilvl w:val="0"/>
                <w:numId w:val="4"/>
              </w:numPr>
              <w:spacing w:line="240" w:lineRule="auto"/>
              <w:ind w:left="1080"/>
              <w:rPr>
                <w:rFonts w:ascii="Open Sans" w:eastAsia="Open Sans" w:hAnsi="Open Sans" w:cs="Open Sans"/>
                <w:b/>
                <w:sz w:val="20"/>
                <w:szCs w:val="20"/>
              </w:rPr>
            </w:pPr>
            <w:r>
              <w:rPr>
                <w:rFonts w:ascii="Open Sans" w:eastAsia="Open Sans" w:hAnsi="Open Sans" w:cs="Open Sans"/>
                <w:b/>
                <w:sz w:val="20"/>
                <w:szCs w:val="20"/>
              </w:rPr>
              <w:t>Wellness Warriors</w:t>
            </w:r>
          </w:p>
          <w:p w:rsidR="00FA1CFC" w:rsidRDefault="00145A9D">
            <w:pPr>
              <w:widowControl w:val="0"/>
              <w:numPr>
                <w:ilvl w:val="0"/>
                <w:numId w:val="4"/>
              </w:numPr>
              <w:spacing w:line="240" w:lineRule="auto"/>
              <w:ind w:left="1080"/>
              <w:rPr>
                <w:rFonts w:ascii="Open Sans" w:eastAsia="Open Sans" w:hAnsi="Open Sans" w:cs="Open Sans"/>
                <w:b/>
                <w:sz w:val="20"/>
                <w:szCs w:val="20"/>
              </w:rPr>
            </w:pPr>
            <w:r>
              <w:rPr>
                <w:rFonts w:ascii="Open Sans" w:eastAsia="Open Sans" w:hAnsi="Open Sans" w:cs="Open Sans"/>
                <w:b/>
                <w:sz w:val="20"/>
                <w:szCs w:val="20"/>
              </w:rPr>
              <w:t xml:space="preserve">Staff Morale </w:t>
            </w:r>
          </w:p>
          <w:p w:rsidR="00FA1CFC" w:rsidRDefault="00145A9D">
            <w:pPr>
              <w:widowControl w:val="0"/>
              <w:numPr>
                <w:ilvl w:val="0"/>
                <w:numId w:val="4"/>
              </w:numPr>
              <w:spacing w:line="240" w:lineRule="auto"/>
              <w:ind w:left="1080"/>
              <w:rPr>
                <w:rFonts w:ascii="Open Sans" w:eastAsia="Open Sans" w:hAnsi="Open Sans" w:cs="Open Sans"/>
                <w:b/>
                <w:sz w:val="20"/>
                <w:szCs w:val="20"/>
              </w:rPr>
            </w:pPr>
            <w:r>
              <w:rPr>
                <w:rFonts w:ascii="Open Sans" w:eastAsia="Open Sans" w:hAnsi="Open Sans" w:cs="Open Sans"/>
                <w:b/>
                <w:sz w:val="20"/>
                <w:szCs w:val="20"/>
              </w:rPr>
              <w:t xml:space="preserve">Family Outreach </w:t>
            </w:r>
          </w:p>
          <w:p w:rsidR="00FA1CFC" w:rsidRDefault="00145A9D">
            <w:pPr>
              <w:widowControl w:val="0"/>
              <w:numPr>
                <w:ilvl w:val="0"/>
                <w:numId w:val="4"/>
              </w:numPr>
              <w:spacing w:line="240" w:lineRule="auto"/>
              <w:ind w:left="1080"/>
              <w:rPr>
                <w:rFonts w:ascii="Open Sans" w:eastAsia="Open Sans" w:hAnsi="Open Sans" w:cs="Open Sans"/>
                <w:b/>
                <w:sz w:val="20"/>
                <w:szCs w:val="20"/>
              </w:rPr>
            </w:pPr>
            <w:r>
              <w:rPr>
                <w:rFonts w:ascii="Open Sans" w:eastAsia="Open Sans" w:hAnsi="Open Sans" w:cs="Open Sans"/>
                <w:b/>
                <w:sz w:val="20"/>
                <w:szCs w:val="20"/>
              </w:rPr>
              <w:t>Party Panthers</w:t>
            </w:r>
          </w:p>
          <w:p w:rsidR="00FA1CFC" w:rsidRDefault="00145A9D">
            <w:pPr>
              <w:widowControl w:val="0"/>
              <w:numPr>
                <w:ilvl w:val="0"/>
                <w:numId w:val="4"/>
              </w:numPr>
              <w:spacing w:line="240" w:lineRule="auto"/>
              <w:ind w:left="1080"/>
              <w:rPr>
                <w:rFonts w:ascii="Open Sans" w:eastAsia="Open Sans" w:hAnsi="Open Sans" w:cs="Open Sans"/>
                <w:b/>
                <w:sz w:val="20"/>
                <w:szCs w:val="20"/>
              </w:rPr>
            </w:pPr>
            <w:r>
              <w:rPr>
                <w:rFonts w:ascii="Open Sans" w:eastAsia="Open Sans" w:hAnsi="Open Sans" w:cs="Open Sans"/>
                <w:b/>
                <w:sz w:val="20"/>
                <w:szCs w:val="20"/>
              </w:rPr>
              <w:t>Restorative Justice/PBIS</w:t>
            </w:r>
          </w:p>
          <w:p w:rsidR="00FA1CFC" w:rsidRDefault="00145A9D">
            <w:pPr>
              <w:widowControl w:val="0"/>
              <w:numPr>
                <w:ilvl w:val="0"/>
                <w:numId w:val="1"/>
              </w:numPr>
              <w:spacing w:line="240" w:lineRule="auto"/>
              <w:ind w:left="360"/>
              <w:rPr>
                <w:rFonts w:ascii="Open Sans" w:eastAsia="Open Sans" w:hAnsi="Open Sans" w:cs="Open Sans"/>
                <w:b/>
                <w:sz w:val="20"/>
                <w:szCs w:val="20"/>
              </w:rPr>
            </w:pPr>
            <w:r>
              <w:rPr>
                <w:rFonts w:ascii="Open Sans" w:eastAsia="Open Sans" w:hAnsi="Open Sans" w:cs="Open Sans"/>
                <w:b/>
                <w:sz w:val="20"/>
                <w:szCs w:val="20"/>
              </w:rPr>
              <w:t xml:space="preserve">Grade Level Teams will </w:t>
            </w:r>
            <w:r>
              <w:rPr>
                <w:rFonts w:ascii="Open Sans" w:eastAsia="Open Sans" w:hAnsi="Open Sans" w:cs="Open Sans"/>
                <w:b/>
                <w:sz w:val="20"/>
                <w:szCs w:val="20"/>
              </w:rPr>
              <w:t>also have mentoring programs for students where staff will also receive a handbook from the grade level team leaders.</w:t>
            </w:r>
          </w:p>
          <w:p w:rsidR="00FA1CFC" w:rsidRDefault="00145A9D">
            <w:pPr>
              <w:widowControl w:val="0"/>
              <w:numPr>
                <w:ilvl w:val="0"/>
                <w:numId w:val="1"/>
              </w:numPr>
              <w:spacing w:line="240" w:lineRule="auto"/>
              <w:ind w:left="360"/>
              <w:rPr>
                <w:rFonts w:ascii="Open Sans" w:eastAsia="Open Sans" w:hAnsi="Open Sans" w:cs="Open Sans"/>
                <w:b/>
                <w:sz w:val="20"/>
                <w:szCs w:val="20"/>
              </w:rPr>
            </w:pPr>
            <w:r>
              <w:rPr>
                <w:rFonts w:ascii="Open Sans" w:eastAsia="Open Sans" w:hAnsi="Open Sans" w:cs="Open Sans"/>
                <w:b/>
                <w:sz w:val="20"/>
                <w:szCs w:val="20"/>
              </w:rPr>
              <w:t>Mindfulness and Wellness activities will be implemented for staff and students throughout the school year.</w:t>
            </w:r>
          </w:p>
        </w:tc>
      </w:tr>
    </w:tbl>
    <w:p w:rsidR="00FA1CFC" w:rsidRDefault="00FA1CFC"/>
    <w:sectPr w:rsidR="00FA1CFC">
      <w:headerReference w:type="default" r:id="rId7"/>
      <w:footerReference w:type="default" r:id="rId8"/>
      <w:headerReference w:type="first" r:id="rId9"/>
      <w:footerReference w:type="first" r:id="rId10"/>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45A9D">
      <w:pPr>
        <w:spacing w:line="240" w:lineRule="auto"/>
      </w:pPr>
      <w:r>
        <w:separator/>
      </w:r>
    </w:p>
  </w:endnote>
  <w:endnote w:type="continuationSeparator" w:id="0">
    <w:p w:rsidR="00000000" w:rsidRDefault="00145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CFC" w:rsidRDefault="00145A9D">
    <w:pPr>
      <w:jc w:val="center"/>
      <w:rPr>
        <w:rFonts w:ascii="Open Sans" w:eastAsia="Open Sans" w:hAnsi="Open Sans" w:cs="Open Sans"/>
        <w:color w:val="666666"/>
      </w:rPr>
    </w:pPr>
    <w:r>
      <w:rPr>
        <w:rFonts w:ascii="Open Sans" w:eastAsia="Open Sans" w:hAnsi="Open Sans" w:cs="Open Sans"/>
        <w:color w:val="666666"/>
      </w:rPr>
      <w:t>Office of School Support and Improvement</w:t>
    </w:r>
  </w:p>
  <w:p w:rsidR="00FA1CFC" w:rsidRDefault="00145A9D">
    <w:pPr>
      <w:jc w:val="center"/>
      <w:rPr>
        <w:rFonts w:ascii="Open Sans" w:eastAsia="Open Sans" w:hAnsi="Open Sans" w:cs="Open Sans"/>
        <w:color w:val="666666"/>
      </w:rPr>
    </w:pPr>
    <w:r>
      <w:rPr>
        <w:rFonts w:ascii="Open Sans" w:eastAsia="Open Sans" w:hAnsi="Open Sans" w:cs="Open Sans"/>
        <w:color w:val="666666"/>
      </w:rPr>
      <w:t>Montgomery County Public Schools, MD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CFC" w:rsidRDefault="00145A9D">
    <w:pPr>
      <w:jc w:val="center"/>
      <w:rPr>
        <w:rFonts w:ascii="Open Sans" w:eastAsia="Open Sans" w:hAnsi="Open Sans" w:cs="Open Sans"/>
      </w:rPr>
    </w:pPr>
    <w:r>
      <w:rPr>
        <w:rFonts w:ascii="Open Sans" w:eastAsia="Open Sans" w:hAnsi="Open Sans" w:cs="Open Sans"/>
      </w:rPr>
      <w:t>Office of School Support and Improvement</w:t>
    </w:r>
  </w:p>
  <w:p w:rsidR="00FA1CFC" w:rsidRDefault="00145A9D">
    <w:pPr>
      <w:jc w:val="center"/>
      <w:rPr>
        <w:rFonts w:ascii="Open Sans" w:eastAsia="Open Sans" w:hAnsi="Open Sans" w:cs="Open Sans"/>
      </w:rPr>
    </w:pPr>
    <w:r>
      <w:rPr>
        <w:rFonts w:ascii="Open Sans" w:eastAsia="Open Sans" w:hAnsi="Open Sans" w:cs="Open Sans"/>
      </w:rPr>
      <w:t>Montgomery County Public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45A9D">
      <w:pPr>
        <w:spacing w:line="240" w:lineRule="auto"/>
      </w:pPr>
      <w:r>
        <w:separator/>
      </w:r>
    </w:p>
  </w:footnote>
  <w:footnote w:type="continuationSeparator" w:id="0">
    <w:p w:rsidR="00000000" w:rsidRDefault="00145A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CFC" w:rsidRDefault="00FA1CFC">
    <w:pPr>
      <w:rPr>
        <w:rFonts w:ascii="Times New Roman" w:eastAsia="Times New Roman" w:hAnsi="Times New Roman" w:cs="Times New Roman"/>
        <w:sz w:val="24"/>
        <w:szCs w:val="24"/>
      </w:rPr>
    </w:pPr>
  </w:p>
  <w:p w:rsidR="00FA1CFC" w:rsidRDefault="00145A9D">
    <w:pPr>
      <w:rPr>
        <w:rFonts w:ascii="Open Sans" w:eastAsia="Open Sans" w:hAnsi="Open Sans" w:cs="Open Sans"/>
        <w:color w:val="666666"/>
      </w:rPr>
    </w:pPr>
    <w:r>
      <w:rPr>
        <w:rFonts w:ascii="Open Sans" w:eastAsia="Open Sans" w:hAnsi="Open Sans" w:cs="Open Sans"/>
        <w:color w:val="666666"/>
      </w:rPr>
      <w:t>Exhibit D</w:t>
    </w:r>
  </w:p>
  <w:p w:rsidR="00FA1CFC" w:rsidRDefault="00145A9D">
    <w:pPr>
      <w:rPr>
        <w:rFonts w:ascii="Open Sans" w:eastAsia="Open Sans" w:hAnsi="Open Sans" w:cs="Open Sans"/>
        <w:color w:val="666666"/>
      </w:rPr>
    </w:pPr>
    <w:r>
      <w:rPr>
        <w:rFonts w:ascii="Open Sans" w:eastAsia="Open Sans" w:hAnsi="Open Sans" w:cs="Open Sans"/>
        <w:color w:val="666666"/>
      </w:rPr>
      <w:t>Overview for School Website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CFC" w:rsidRDefault="00FA1CFC">
    <w:pPr>
      <w:rPr>
        <w:rFonts w:ascii="Times New Roman" w:eastAsia="Times New Roman" w:hAnsi="Times New Roman" w:cs="Times New Roman"/>
        <w:sz w:val="24"/>
        <w:szCs w:val="24"/>
      </w:rPr>
    </w:pPr>
  </w:p>
  <w:p w:rsidR="00FA1CFC" w:rsidRDefault="00145A9D">
    <w:pPr>
      <w:rPr>
        <w:rFonts w:ascii="Open Sans" w:eastAsia="Open Sans" w:hAnsi="Open Sans" w:cs="Open Sans"/>
        <w:color w:val="666666"/>
        <w:sz w:val="20"/>
        <w:szCs w:val="20"/>
      </w:rPr>
    </w:pPr>
    <w:r>
      <w:rPr>
        <w:rFonts w:ascii="Open Sans" w:eastAsia="Open Sans" w:hAnsi="Open Sans" w:cs="Open Sans"/>
        <w:color w:val="666666"/>
        <w:sz w:val="20"/>
        <w:szCs w:val="20"/>
      </w:rPr>
      <w:t xml:space="preserve">Exhibit D </w:t>
    </w:r>
  </w:p>
  <w:p w:rsidR="00FA1CFC" w:rsidRDefault="00145A9D">
    <w:pPr>
      <w:rPr>
        <w:rFonts w:ascii="Open Sans" w:eastAsia="Open Sans" w:hAnsi="Open Sans" w:cs="Open Sans"/>
        <w:color w:val="666666"/>
        <w:sz w:val="20"/>
        <w:szCs w:val="20"/>
      </w:rPr>
    </w:pPr>
    <w:r>
      <w:rPr>
        <w:rFonts w:ascii="Open Sans" w:eastAsia="Open Sans" w:hAnsi="Open Sans" w:cs="Open Sans"/>
        <w:color w:val="666666"/>
        <w:sz w:val="20"/>
        <w:szCs w:val="20"/>
      </w:rPr>
      <w:t>Responsive Strategies and Planning for Powerful Instruction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11CE"/>
    <w:multiLevelType w:val="multilevel"/>
    <w:tmpl w:val="8ABCC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D21F72"/>
    <w:multiLevelType w:val="multilevel"/>
    <w:tmpl w:val="36B063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94114BB"/>
    <w:multiLevelType w:val="multilevel"/>
    <w:tmpl w:val="E9D08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1036A9"/>
    <w:multiLevelType w:val="multilevel"/>
    <w:tmpl w:val="4F141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3F0592"/>
    <w:multiLevelType w:val="multilevel"/>
    <w:tmpl w:val="AFCE0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FC"/>
    <w:rsid w:val="00145A9D"/>
    <w:rsid w:val="00FA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58F2"/>
  <w15:docId w15:val="{DC9255AB-8CC4-45D7-80AD-8AA7C1FB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Shin, Aaron</cp:lastModifiedBy>
  <cp:revision>2</cp:revision>
  <dcterms:created xsi:type="dcterms:W3CDTF">2019-11-27T15:58:00Z</dcterms:created>
  <dcterms:modified xsi:type="dcterms:W3CDTF">2019-11-27T15:59:00Z</dcterms:modified>
</cp:coreProperties>
</file>